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C37" w:rsidRDefault="006D1DA6">
      <w:r w:rsidRPr="006D1DA6">
        <w:drawing>
          <wp:inline distT="0" distB="0" distL="0" distR="0">
            <wp:extent cx="5760720" cy="3080632"/>
            <wp:effectExtent l="0" t="0" r="0" b="0"/>
            <wp:docPr id="4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6D1DA6" w:rsidRPr="00D45195" w:rsidRDefault="006D1DA6" w:rsidP="006D1DA6">
      <w:pPr>
        <w:pStyle w:val="normal0"/>
        <w:spacing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proofErr w:type="gramStart"/>
      <w:r w:rsidRPr="00D45195">
        <w:rPr>
          <w:rFonts w:asciiTheme="majorBidi" w:eastAsia="Times New Roman" w:hAnsiTheme="majorBidi" w:cstheme="majorBidi"/>
          <w:sz w:val="24"/>
          <w:szCs w:val="24"/>
          <w:lang w:val="en-US"/>
        </w:rPr>
        <w:t>Fig. 4.</w:t>
      </w:r>
      <w:proofErr w:type="gramEnd"/>
      <w:r w:rsidRPr="00D45195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Percentage of cell proliferation in presence of </w:t>
      </w:r>
      <w:proofErr w:type="spellStart"/>
      <w:r w:rsidRPr="00D45195">
        <w:rPr>
          <w:rFonts w:asciiTheme="majorBidi" w:eastAsia="Times New Roman" w:hAnsiTheme="majorBidi" w:cstheme="majorBidi"/>
          <w:sz w:val="24"/>
          <w:szCs w:val="24"/>
          <w:lang w:val="en-US"/>
        </w:rPr>
        <w:t>polysaccharidic</w:t>
      </w:r>
      <w:proofErr w:type="spellEnd"/>
      <w:r w:rsidRPr="00D45195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extracts of </w:t>
      </w:r>
      <w:proofErr w:type="spellStart"/>
      <w:r w:rsidRPr="00D45195">
        <w:rPr>
          <w:rFonts w:asciiTheme="majorBidi" w:eastAsia="Times New Roman" w:hAnsiTheme="majorBidi" w:cstheme="majorBidi"/>
          <w:i/>
          <w:sz w:val="24"/>
          <w:szCs w:val="24"/>
          <w:lang w:val="en-US"/>
        </w:rPr>
        <w:t>Isochrysis</w:t>
      </w:r>
      <w:proofErr w:type="spellEnd"/>
      <w:r w:rsidRPr="00D45195">
        <w:rPr>
          <w:rFonts w:asciiTheme="majorBidi" w:eastAsia="Times New Roman" w:hAnsiTheme="majorBidi" w:cstheme="majorBidi"/>
          <w:i/>
          <w:sz w:val="24"/>
          <w:szCs w:val="24"/>
          <w:lang w:val="en-US"/>
        </w:rPr>
        <w:t xml:space="preserve"> </w:t>
      </w:r>
      <w:proofErr w:type="spellStart"/>
      <w:r w:rsidRPr="00D45195">
        <w:rPr>
          <w:rFonts w:asciiTheme="majorBidi" w:eastAsia="Times New Roman" w:hAnsiTheme="majorBidi" w:cstheme="majorBidi"/>
          <w:i/>
          <w:sz w:val="24"/>
          <w:szCs w:val="24"/>
          <w:lang w:val="en-US"/>
        </w:rPr>
        <w:t>galbana</w:t>
      </w:r>
      <w:proofErr w:type="spellEnd"/>
      <w:r w:rsidRPr="00D45195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(PEA) and </w:t>
      </w:r>
      <w:proofErr w:type="spellStart"/>
      <w:r w:rsidRPr="00D45195">
        <w:rPr>
          <w:rFonts w:asciiTheme="majorBidi" w:eastAsia="Times New Roman" w:hAnsiTheme="majorBidi" w:cstheme="majorBidi"/>
          <w:i/>
          <w:sz w:val="24"/>
          <w:szCs w:val="24"/>
          <w:lang w:val="en-US"/>
        </w:rPr>
        <w:t>Nannochloropsis</w:t>
      </w:r>
      <w:proofErr w:type="spellEnd"/>
      <w:r w:rsidRPr="00D45195">
        <w:rPr>
          <w:rFonts w:asciiTheme="majorBidi" w:eastAsia="Times New Roman" w:hAnsiTheme="majorBidi" w:cstheme="majorBidi"/>
          <w:i/>
          <w:sz w:val="24"/>
          <w:szCs w:val="24"/>
          <w:lang w:val="en-US"/>
        </w:rPr>
        <w:t xml:space="preserve"> </w:t>
      </w:r>
      <w:proofErr w:type="spellStart"/>
      <w:r w:rsidRPr="00D45195">
        <w:rPr>
          <w:rFonts w:asciiTheme="majorBidi" w:eastAsia="Times New Roman" w:hAnsiTheme="majorBidi" w:cstheme="majorBidi"/>
          <w:i/>
          <w:sz w:val="24"/>
          <w:szCs w:val="24"/>
          <w:lang w:val="en-US"/>
        </w:rPr>
        <w:t>oculata</w:t>
      </w:r>
      <w:proofErr w:type="spellEnd"/>
      <w:r w:rsidRPr="00D45195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(PEB). Error bars represent the standard deviation calculated from duplicate experiments.</w:t>
      </w:r>
    </w:p>
    <w:p w:rsidR="006D1DA6" w:rsidRPr="006D1DA6" w:rsidRDefault="006D1DA6">
      <w:pPr>
        <w:rPr>
          <w:lang w:val="en-US"/>
        </w:rPr>
      </w:pPr>
    </w:p>
    <w:sectPr w:rsidR="006D1DA6" w:rsidRPr="006D1DA6" w:rsidSect="00390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D1DA6"/>
    <w:rsid w:val="00390C37"/>
    <w:rsid w:val="005B57C6"/>
    <w:rsid w:val="006D1DA6"/>
    <w:rsid w:val="00925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C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D1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1DA6"/>
    <w:rPr>
      <w:rFonts w:ascii="Tahoma" w:hAnsi="Tahoma" w:cs="Tahoma"/>
      <w:sz w:val="16"/>
      <w:szCs w:val="16"/>
    </w:rPr>
  </w:style>
  <w:style w:type="paragraph" w:customStyle="1" w:styleId="normal0">
    <w:name w:val="normal"/>
    <w:rsid w:val="006D1DA6"/>
    <w:pPr>
      <w:widowControl w:val="0"/>
    </w:pPr>
    <w:rPr>
      <w:rFonts w:ascii="Calibri" w:eastAsia="Calibri" w:hAnsi="Calibri" w:cs="Calibri"/>
      <w:color w:val="00000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2017\Downloads\donn&#233;es%20figures%20article%2013062016%20(3)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1"/>
  <c:chart>
    <c:plotArea>
      <c:layout>
        <c:manualLayout>
          <c:layoutTarget val="inner"/>
          <c:xMode val="edge"/>
          <c:yMode val="edge"/>
          <c:x val="0.13611129572387121"/>
          <c:y val="5.4545523723523393E-2"/>
          <c:w val="0.79722330352553161"/>
          <c:h val="0.75584511445454072"/>
        </c:manualLayout>
      </c:layout>
      <c:barChart>
        <c:barDir val="col"/>
        <c:grouping val="clustered"/>
        <c:ser>
          <c:idx val="0"/>
          <c:order val="0"/>
          <c:tx>
            <c:v>PEA</c:v>
          </c:tx>
          <c:spPr>
            <a:solidFill>
              <a:srgbClr val="000000"/>
            </a:solidFill>
            <a:ln w="25400">
              <a:noFill/>
            </a:ln>
          </c:spPr>
          <c:errBars>
            <c:errBarType val="both"/>
            <c:errValType val="percentage"/>
            <c:noEndCap val="1"/>
            <c:val val="3"/>
            <c:spPr>
              <a:ln w="12700">
                <a:solidFill>
                  <a:srgbClr val="000000"/>
                </a:solidFill>
                <a:prstDash val="solid"/>
              </a:ln>
            </c:spPr>
          </c:errBars>
          <c:cat>
            <c:strRef>
              <c:f>Feuil4!$D$5:$I$5</c:f>
              <c:strCache>
                <c:ptCount val="6"/>
                <c:pt idx="0">
                  <c:v>0.031</c:v>
                </c:pt>
                <c:pt idx="1">
                  <c:v>0.0625</c:v>
                </c:pt>
                <c:pt idx="2">
                  <c:v>0.125</c:v>
                </c:pt>
                <c:pt idx="3">
                  <c:v>0.25</c:v>
                </c:pt>
                <c:pt idx="4">
                  <c:v>0.5</c:v>
                </c:pt>
                <c:pt idx="5">
                  <c:v>1</c:v>
                </c:pt>
              </c:strCache>
            </c:strRef>
          </c:cat>
          <c:val>
            <c:numRef>
              <c:f>Feuil4!$D$6:$I$6</c:f>
              <c:numCache>
                <c:formatCode>0.000</c:formatCode>
                <c:ptCount val="6"/>
                <c:pt idx="0">
                  <c:v>42.710997442455266</c:v>
                </c:pt>
                <c:pt idx="1">
                  <c:v>43.989769820971894</c:v>
                </c:pt>
                <c:pt idx="2">
                  <c:v>35.805626598465452</c:v>
                </c:pt>
                <c:pt idx="3">
                  <c:v>23.145780051150886</c:v>
                </c:pt>
                <c:pt idx="4">
                  <c:v>13.810741687979553</c:v>
                </c:pt>
                <c:pt idx="5">
                  <c:v>1.0009999999999988</c:v>
                </c:pt>
              </c:numCache>
            </c:numRef>
          </c:val>
        </c:ser>
        <c:ser>
          <c:idx val="1"/>
          <c:order val="1"/>
          <c:tx>
            <c:v>PEB</c:v>
          </c:tx>
          <c:spPr>
            <a:solidFill>
              <a:srgbClr val="FFFFFF"/>
            </a:solidFill>
            <a:ln w="3175">
              <a:solidFill>
                <a:srgbClr val="000000"/>
              </a:solidFill>
              <a:prstDash val="solid"/>
            </a:ln>
          </c:spPr>
          <c:errBars>
            <c:errBarType val="both"/>
            <c:errValType val="percentage"/>
            <c:val val="3"/>
            <c:spPr>
              <a:ln w="12700">
                <a:solidFill>
                  <a:srgbClr val="000000"/>
                </a:solidFill>
                <a:prstDash val="solid"/>
              </a:ln>
            </c:spPr>
          </c:errBars>
          <c:cat>
            <c:strRef>
              <c:f>Feuil4!$D$5:$I$5</c:f>
              <c:strCache>
                <c:ptCount val="6"/>
                <c:pt idx="0">
                  <c:v>0.031</c:v>
                </c:pt>
                <c:pt idx="1">
                  <c:v>0.0625</c:v>
                </c:pt>
                <c:pt idx="2">
                  <c:v>0.125</c:v>
                </c:pt>
                <c:pt idx="3">
                  <c:v>0.25</c:v>
                </c:pt>
                <c:pt idx="4">
                  <c:v>0.5</c:v>
                </c:pt>
                <c:pt idx="5">
                  <c:v>1</c:v>
                </c:pt>
              </c:strCache>
            </c:strRef>
          </c:cat>
          <c:val>
            <c:numRef>
              <c:f>Feuil4!$D$11:$I$11</c:f>
              <c:numCache>
                <c:formatCode>0.0000</c:formatCode>
                <c:ptCount val="6"/>
                <c:pt idx="0">
                  <c:v>59.974424552429618</c:v>
                </c:pt>
                <c:pt idx="1">
                  <c:v>58.95140664961626</c:v>
                </c:pt>
                <c:pt idx="2">
                  <c:v>51.534526854219955</c:v>
                </c:pt>
                <c:pt idx="3">
                  <c:v>51.662404092071611</c:v>
                </c:pt>
                <c:pt idx="4">
                  <c:v>38.363171355498714</c:v>
                </c:pt>
                <c:pt idx="5">
                  <c:v>3.77237851662403</c:v>
                </c:pt>
              </c:numCache>
            </c:numRef>
          </c:val>
        </c:ser>
        <c:axId val="99529856"/>
        <c:axId val="99531776"/>
      </c:barChart>
      <c:catAx>
        <c:axId val="9952985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fr-FR"/>
                  <a:t>Polysaccharide concentration, mg</a:t>
                </a:r>
                <a:r>
                  <a:rPr lang="fr-FR" baseline="0"/>
                  <a:t> </a:t>
                </a:r>
                <a:r>
                  <a:rPr lang="fr-FR"/>
                  <a:t>mL</a:t>
                </a:r>
                <a:r>
                  <a:rPr lang="fr-FR" baseline="30000"/>
                  <a:t>-1</a:t>
                </a:r>
                <a:endParaRPr lang="fr-FR"/>
              </a:p>
            </c:rich>
          </c:tx>
          <c:layout>
            <c:manualLayout>
              <c:xMode val="edge"/>
              <c:yMode val="edge"/>
              <c:x val="0.35694488188976492"/>
              <c:y val="0.9142868050584585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fr-FR"/>
          </a:p>
        </c:txPr>
        <c:crossAx val="99531776"/>
        <c:crosses val="autoZero"/>
        <c:auto val="1"/>
        <c:lblAlgn val="ctr"/>
        <c:lblOffset val="100"/>
      </c:catAx>
      <c:valAx>
        <c:axId val="99531776"/>
        <c:scaling>
          <c:orientation val="minMax"/>
          <c:max val="100"/>
        </c:scaling>
        <c:axPos val="l"/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fr-FR"/>
                  <a:t>Cells proliferation,</a:t>
                </a:r>
                <a:r>
                  <a:rPr lang="fr-FR" baseline="0"/>
                  <a:t> </a:t>
                </a:r>
                <a:r>
                  <a:rPr lang="fr-FR"/>
                  <a:t>%</a:t>
                </a:r>
              </a:p>
            </c:rich>
          </c:tx>
          <c:layout>
            <c:manualLayout>
              <c:xMode val="edge"/>
              <c:yMode val="edge"/>
              <c:x val="3.0555555555555582E-2"/>
              <c:y val="0.270129870129871"/>
            </c:manualLayout>
          </c:layout>
          <c:spPr>
            <a:noFill/>
            <a:ln w="25400">
              <a:noFill/>
            </a:ln>
          </c:spPr>
        </c:title>
        <c:numFmt formatCode="General" sourceLinked="0"/>
        <c:tickLblPos val="nextTo"/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fr-FR"/>
          </a:p>
        </c:txPr>
        <c:crossAx val="99529856"/>
        <c:crosses val="autoZero"/>
        <c:crossBetween val="between"/>
        <c:majorUnit val="2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1388990959463405"/>
          <c:y val="0.13506520775812139"/>
          <c:w val="0.25694473607465784"/>
          <c:h val="6.2337662337662428E-2"/>
        </c:manualLayout>
      </c:layout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fr-FR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195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2017</dc:creator>
  <cp:lastModifiedBy>2017</cp:lastModifiedBy>
  <cp:revision>1</cp:revision>
  <dcterms:created xsi:type="dcterms:W3CDTF">2017-03-23T08:46:00Z</dcterms:created>
  <dcterms:modified xsi:type="dcterms:W3CDTF">2017-03-23T08:47:00Z</dcterms:modified>
</cp:coreProperties>
</file>