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2D" w:rsidRPr="009F33A7" w:rsidRDefault="00765B2D" w:rsidP="00765B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33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X-ray, Hirshfeld surface analysis, spectroscopic and DFT studies of </w:t>
      </w:r>
      <w:r w:rsidRPr="009F33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PAHs: </w:t>
      </w:r>
      <w:r w:rsidRPr="009F33A7">
        <w:rPr>
          <w:rFonts w:ascii="Times New Roman" w:hAnsi="Times New Roman" w:cs="Times New Roman"/>
          <w:b/>
          <w:bCs/>
          <w:sz w:val="28"/>
          <w:szCs w:val="28"/>
          <w:lang w:val="en-US"/>
        </w:rPr>
        <w:t>fluoranthene and acenaphthene</w:t>
      </w:r>
    </w:p>
    <w:p w:rsidR="00765B2D" w:rsidRPr="00BC65CD" w:rsidRDefault="00765B2D" w:rsidP="00765B2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WIOLETA ŚMISZEK-LINDERT</w:t>
      </w:r>
      <w:r w:rsidRPr="00BC65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2E1E1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ANNA MICHTA</w:t>
      </w:r>
      <w:r w:rsidRPr="00BC65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, ALEKSANDRA TYL</w:t>
      </w:r>
      <w:r w:rsidRPr="00BC65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, GRZEGORZ MAŁECKI</w:t>
      </w:r>
      <w:r w:rsidRPr="00BC65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, ELŻBIETA CHEŁMECKA</w:t>
      </w:r>
      <w:r w:rsidRPr="00BC65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SŁAWOMIR MAŚLANKA</w:t>
      </w:r>
      <w:r w:rsidRPr="00BC65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</w:p>
    <w:p w:rsidR="00765B2D" w:rsidRPr="003B5289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B528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2E1E1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*</w:t>
      </w:r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Institute of </w:t>
      </w:r>
      <w:proofErr w:type="spellStart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>Mechanised</w:t>
      </w:r>
      <w:proofErr w:type="spellEnd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Construction &amp; Rock </w:t>
      </w:r>
      <w:proofErr w:type="spellStart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>Mininig</w:t>
      </w:r>
      <w:proofErr w:type="spellEnd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W. </w:t>
      </w:r>
      <w:proofErr w:type="spellStart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>Korfantego</w:t>
      </w:r>
      <w:proofErr w:type="spellEnd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193A Street, 40-157 Katowice,</w:t>
      </w:r>
      <w:r w:rsidRPr="003B528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3B52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Institute of Chemistry, University of Silesia, 9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Szkolna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Street, 40-006 Katowice and</w:t>
      </w:r>
    </w:p>
    <w:p w:rsidR="00765B2D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28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3</w:t>
      </w:r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Division of Statistics, Department of Instrumental Analysis, Medical University of Silesia, 30 </w:t>
      </w:r>
      <w:proofErr w:type="spellStart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>Ostrogórska</w:t>
      </w:r>
      <w:proofErr w:type="spellEnd"/>
      <w:r w:rsidRPr="003B5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Street, 41-200 Sosnowiec</w:t>
      </w:r>
    </w:p>
    <w:p w:rsidR="00765B2D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Corresponding author: E-mail:</w:t>
      </w:r>
      <w:r w:rsidRPr="004A0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4A084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w.lindert@imbigs.pl</w:t>
        </w:r>
      </w:hyperlink>
    </w:p>
    <w:p w:rsidR="00765B2D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(+4832) 258-13-73</w:t>
      </w:r>
    </w:p>
    <w:p w:rsidR="00765B2D" w:rsidRPr="00127C23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Fax: (+4832) 258-35-53</w:t>
      </w:r>
    </w:p>
    <w:p w:rsidR="00765B2D" w:rsidRPr="003B5289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5B2D" w:rsidRPr="00BC65CD" w:rsidRDefault="00765B2D" w:rsidP="00765B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C65CD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: The X-ray structure, theoretical calculation,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Hirshfeld surfaces analysis, </w:t>
      </w:r>
      <w:proofErr w:type="gramStart"/>
      <w:r w:rsidRPr="00BC65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gramEnd"/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 and Raman spectra of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fluoranthene</w:t>
      </w:r>
      <w:r w:rsidRPr="00BC6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and acenaphthene were reported.</w:t>
      </w:r>
      <w:r w:rsidRPr="00BC6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acenaphthene 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crystallizes in the </w:t>
      </w:r>
      <w:hyperlink r:id="rId9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orthorhombic</w:t>
        </w:r>
      </w:hyperlink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 crystal system and space group </w:t>
      </w:r>
      <w:hyperlink r:id="rId10" w:history="1">
        <w:r w:rsidRPr="00BC65C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P</w:t>
        </w:r>
      </w:hyperlink>
      <w:hyperlink r:id="rId11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2</w:t>
        </w:r>
      </w:hyperlink>
      <w:hyperlink r:id="rId12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  <w:lang w:val="en-US"/>
          </w:rPr>
          <w:t>1</w:t>
        </w:r>
      </w:hyperlink>
      <w:hyperlink r:id="rId13" w:history="1">
        <w:r w:rsidRPr="00BC65C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</w:t>
        </w:r>
      </w:hyperlink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, with crystal parameters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14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7.2053 (9)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Å,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15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13.9800 (15)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Å,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16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8.2638 (8)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Å,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4 and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17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2135.5 (4)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</w:t>
      </w:r>
      <w:r w:rsidRPr="00BC65C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3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In turn, the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grown 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crystals of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fluoranthene are in 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monoclinic system with space group P2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/n. The unit cell parameters are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18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18.349 (2)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Å,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19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6.2273 (5)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Å, </w:t>
      </w:r>
      <w:r w:rsidRPr="00BC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= </w:t>
      </w:r>
      <w:hyperlink r:id="rId20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19.861 (2)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Å, </w:t>
      </w:r>
      <w:r w:rsidRPr="00BC65CD">
        <w:rPr>
          <w:rFonts w:ascii="Times New Roman" w:hAnsi="Times New Roman" w:cs="Times New Roman"/>
          <w:sz w:val="24"/>
          <w:szCs w:val="24"/>
        </w:rPr>
        <w:t>β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hyperlink r:id="rId21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109.787 (13)</w:t>
        </w:r>
      </w:hyperlink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°, 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 = 8 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and unit cell volume is </w:t>
      </w:r>
      <w:hyperlink r:id="rId22" w:history="1">
        <w:r w:rsidRPr="00BC65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832.41 (16)</w:t>
        </w:r>
      </w:hyperlink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Å</w:t>
      </w:r>
      <w:r w:rsidRPr="00BC65C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3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The structure was solved by direct methods and refined by full-matrix least squares based on F2 with weight w=1/[σ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(F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)+(0.0702P)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+0.5131P] where P=(F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+2F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)/3 and w=1/[σ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(F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)+(0.0589P)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] where P = (F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+2F</w:t>
      </w:r>
      <w:r w:rsidRPr="00BC65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BC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>)/3 for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fluoranthene</w:t>
      </w:r>
      <w:r w:rsidRPr="00BC6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65CD">
        <w:rPr>
          <w:rFonts w:ascii="Times New Roman" w:hAnsi="Times New Roman" w:cs="Times New Roman"/>
          <w:bCs/>
          <w:sz w:val="24"/>
          <w:szCs w:val="24"/>
          <w:lang w:val="en-US"/>
        </w:rPr>
        <w:t>and acenaphthene respectively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Theoretical calculations of the title compounds isolated molecule </w:t>
      </w:r>
      <w:proofErr w:type="gramStart"/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have been carried</w:t>
      </w:r>
      <w:proofErr w:type="gramEnd"/>
      <w:r w:rsidRPr="00BC65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out using DFT at the B3LYP level. The intermolecular interactions in the crystal structure, for both the title PAHs, were analyzed using </w:t>
      </w:r>
      <w:r w:rsidRPr="00BC65C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Hirshfeld surfaces computational method.</w:t>
      </w:r>
    </w:p>
    <w:p w:rsidR="00765B2D" w:rsidRPr="00066D27" w:rsidRDefault="00765B2D" w:rsidP="00765B2D">
      <w:pPr>
        <w:pStyle w:val="Default"/>
        <w:rPr>
          <w:rFonts w:eastAsia="Times New Roman"/>
          <w:sz w:val="22"/>
          <w:szCs w:val="22"/>
          <w:lang w:val="en-US" w:eastAsia="pl-PL"/>
        </w:rPr>
      </w:pPr>
    </w:p>
    <w:p w:rsidR="00765B2D" w:rsidRDefault="00765B2D" w:rsidP="00765B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6D27">
        <w:rPr>
          <w:rFonts w:ascii="Times New Roman" w:hAnsi="Times New Roman" w:cs="Times New Roman"/>
          <w:i/>
          <w:lang w:val="en-US"/>
        </w:rPr>
        <w:t>Keywords</w:t>
      </w:r>
      <w:r w:rsidRPr="00066D27">
        <w:rPr>
          <w:rFonts w:ascii="Times New Roman" w:hAnsi="Times New Roman" w:cs="Times New Roman"/>
          <w:lang w:val="en-US"/>
        </w:rPr>
        <w:t>: crystal structure; IR spectroscopy; Raman; density functional theory (</w:t>
      </w:r>
      <w:r w:rsidRPr="00066D27">
        <w:rPr>
          <w:rFonts w:ascii="Times New Roman" w:hAnsi="Times New Roman" w:cs="Times New Roman"/>
          <w:bCs/>
          <w:lang w:val="en-US"/>
        </w:rPr>
        <w:t>DFT) calculation</w:t>
      </w:r>
      <w:r>
        <w:rPr>
          <w:rFonts w:ascii="Times New Roman" w:hAnsi="Times New Roman" w:cs="Times New Roman"/>
          <w:bCs/>
          <w:lang w:val="en-US"/>
        </w:rPr>
        <w:t xml:space="preserve">; </w:t>
      </w:r>
      <w:r w:rsidRPr="009D1915">
        <w:rPr>
          <w:rFonts w:ascii="Times New Roman" w:hAnsi="Times New Roman" w:cs="Times New Roman"/>
          <w:bCs/>
          <w:lang w:val="en-US"/>
        </w:rPr>
        <w:t>Hirshfeld surfaces</w:t>
      </w:r>
      <w:r>
        <w:rPr>
          <w:rFonts w:ascii="Times New Roman" w:hAnsi="Times New Roman" w:cs="Times New Roman"/>
          <w:bCs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</w:p>
    <w:p w:rsidR="00765B2D" w:rsidRDefault="00765B2D" w:rsidP="00765B2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5B2D" w:rsidRDefault="00765B2D" w:rsidP="00765B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5CD">
        <w:rPr>
          <w:rFonts w:ascii="Times New Roman" w:hAnsi="Times New Roman" w:cs="Times New Roman"/>
          <w:sz w:val="24"/>
          <w:szCs w:val="24"/>
          <w:lang w:val="en-US"/>
        </w:rPr>
        <w:t>RUNNING TITLE:</w:t>
      </w:r>
      <w:r w:rsidRPr="00BC6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65CD">
        <w:rPr>
          <w:rFonts w:ascii="Times New Roman" w:hAnsi="Times New Roman" w:cs="Times New Roman"/>
          <w:sz w:val="24"/>
          <w:szCs w:val="24"/>
          <w:lang w:val="en-US"/>
        </w:rPr>
        <w:t xml:space="preserve">X-RAY, SPECTROSCOPIC, DFT STUDIES of </w:t>
      </w:r>
      <w:r w:rsidRPr="00BC65C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PAHs.</w:t>
      </w:r>
    </w:p>
    <w:p w:rsidR="00C47ADC" w:rsidRPr="00765B2D" w:rsidRDefault="00C47ADC" w:rsidP="00765B2D">
      <w:pPr>
        <w:rPr>
          <w:szCs w:val="24"/>
          <w:lang w:val="en-US"/>
        </w:rPr>
      </w:pPr>
    </w:p>
    <w:sectPr w:rsidR="00C47ADC" w:rsidRPr="00765B2D" w:rsidSect="00215655">
      <w:footerReference w:type="default" r:id="rId23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A2" w:rsidRDefault="00BD0EA2" w:rsidP="005521C0">
      <w:pPr>
        <w:spacing w:after="0" w:line="240" w:lineRule="auto"/>
      </w:pPr>
      <w:r>
        <w:separator/>
      </w:r>
    </w:p>
  </w:endnote>
  <w:endnote w:type="continuationSeparator" w:id="0">
    <w:p w:rsidR="00BD0EA2" w:rsidRDefault="00BD0EA2" w:rsidP="005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6A" w:rsidRDefault="00D12E6A">
    <w:pPr>
      <w:pStyle w:val="Stopka"/>
      <w:jc w:val="center"/>
    </w:pPr>
  </w:p>
  <w:p w:rsidR="00D12E6A" w:rsidRDefault="00D12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A2" w:rsidRDefault="00BD0EA2" w:rsidP="005521C0">
      <w:pPr>
        <w:spacing w:after="0" w:line="240" w:lineRule="auto"/>
      </w:pPr>
      <w:r>
        <w:separator/>
      </w:r>
    </w:p>
  </w:footnote>
  <w:footnote w:type="continuationSeparator" w:id="0">
    <w:p w:rsidR="00BD0EA2" w:rsidRDefault="00BD0EA2" w:rsidP="0055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538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2BA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1455"/>
    <w:multiLevelType w:val="hybridMultilevel"/>
    <w:tmpl w:val="423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8256B"/>
    <w:multiLevelType w:val="multilevel"/>
    <w:tmpl w:val="9E468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53719B"/>
    <w:multiLevelType w:val="hybridMultilevel"/>
    <w:tmpl w:val="99A27D16"/>
    <w:lvl w:ilvl="0" w:tplc="495EF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55C"/>
    <w:multiLevelType w:val="hybridMultilevel"/>
    <w:tmpl w:val="848C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0DC6"/>
    <w:multiLevelType w:val="hybridMultilevel"/>
    <w:tmpl w:val="86B2CC22"/>
    <w:lvl w:ilvl="0" w:tplc="0C44043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1359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F7422"/>
    <w:rsid w:val="00013EF1"/>
    <w:rsid w:val="000143A5"/>
    <w:rsid w:val="00016104"/>
    <w:rsid w:val="000217C6"/>
    <w:rsid w:val="000279D3"/>
    <w:rsid w:val="000442E4"/>
    <w:rsid w:val="000458C9"/>
    <w:rsid w:val="000533B4"/>
    <w:rsid w:val="000575AF"/>
    <w:rsid w:val="000603E2"/>
    <w:rsid w:val="00061BFB"/>
    <w:rsid w:val="000637E3"/>
    <w:rsid w:val="00066C63"/>
    <w:rsid w:val="00066D27"/>
    <w:rsid w:val="00067583"/>
    <w:rsid w:val="00075CE2"/>
    <w:rsid w:val="0007765D"/>
    <w:rsid w:val="000839A8"/>
    <w:rsid w:val="000A48C8"/>
    <w:rsid w:val="000A6F0A"/>
    <w:rsid w:val="000B6D5F"/>
    <w:rsid w:val="000C0EA7"/>
    <w:rsid w:val="000C0EF0"/>
    <w:rsid w:val="000C531A"/>
    <w:rsid w:val="000D2A4B"/>
    <w:rsid w:val="000D3D12"/>
    <w:rsid w:val="000D4113"/>
    <w:rsid w:val="000E38A4"/>
    <w:rsid w:val="000E392E"/>
    <w:rsid w:val="000E4041"/>
    <w:rsid w:val="000E514E"/>
    <w:rsid w:val="000F30C9"/>
    <w:rsid w:val="000F4F40"/>
    <w:rsid w:val="000F5E9F"/>
    <w:rsid w:val="0010026F"/>
    <w:rsid w:val="00117EEB"/>
    <w:rsid w:val="00124AE4"/>
    <w:rsid w:val="00130CE2"/>
    <w:rsid w:val="001378A6"/>
    <w:rsid w:val="001422E2"/>
    <w:rsid w:val="00144154"/>
    <w:rsid w:val="001454A0"/>
    <w:rsid w:val="00151D4F"/>
    <w:rsid w:val="00157EA5"/>
    <w:rsid w:val="00162DCB"/>
    <w:rsid w:val="00166E42"/>
    <w:rsid w:val="001715B1"/>
    <w:rsid w:val="0017674B"/>
    <w:rsid w:val="00180D0D"/>
    <w:rsid w:val="001822BF"/>
    <w:rsid w:val="001908CE"/>
    <w:rsid w:val="00196671"/>
    <w:rsid w:val="001A67E9"/>
    <w:rsid w:val="001B4BC5"/>
    <w:rsid w:val="001B6FF5"/>
    <w:rsid w:val="001C013E"/>
    <w:rsid w:val="001C23E7"/>
    <w:rsid w:val="001D0C88"/>
    <w:rsid w:val="001D2985"/>
    <w:rsid w:val="001D518E"/>
    <w:rsid w:val="001D53C9"/>
    <w:rsid w:val="001D6343"/>
    <w:rsid w:val="001E0F56"/>
    <w:rsid w:val="001E705F"/>
    <w:rsid w:val="001F439D"/>
    <w:rsid w:val="001F5757"/>
    <w:rsid w:val="00215655"/>
    <w:rsid w:val="002172AC"/>
    <w:rsid w:val="002207D8"/>
    <w:rsid w:val="00223423"/>
    <w:rsid w:val="00226CB9"/>
    <w:rsid w:val="00231342"/>
    <w:rsid w:val="00233F07"/>
    <w:rsid w:val="002527F4"/>
    <w:rsid w:val="00252C9C"/>
    <w:rsid w:val="002541B9"/>
    <w:rsid w:val="002546D5"/>
    <w:rsid w:val="002552FC"/>
    <w:rsid w:val="00256456"/>
    <w:rsid w:val="0027000F"/>
    <w:rsid w:val="002760F4"/>
    <w:rsid w:val="00277B58"/>
    <w:rsid w:val="00281A02"/>
    <w:rsid w:val="002820D4"/>
    <w:rsid w:val="00284C78"/>
    <w:rsid w:val="00291639"/>
    <w:rsid w:val="00292DB6"/>
    <w:rsid w:val="00293B5E"/>
    <w:rsid w:val="00295617"/>
    <w:rsid w:val="00295663"/>
    <w:rsid w:val="002962ED"/>
    <w:rsid w:val="002A3BCC"/>
    <w:rsid w:val="002A3C2F"/>
    <w:rsid w:val="002A4D4B"/>
    <w:rsid w:val="002B034E"/>
    <w:rsid w:val="002C3B55"/>
    <w:rsid w:val="002C4621"/>
    <w:rsid w:val="002C5A9C"/>
    <w:rsid w:val="002C7242"/>
    <w:rsid w:val="002D02C5"/>
    <w:rsid w:val="002D0927"/>
    <w:rsid w:val="002D0EA8"/>
    <w:rsid w:val="002D5395"/>
    <w:rsid w:val="002D6254"/>
    <w:rsid w:val="002E1EDF"/>
    <w:rsid w:val="002E2572"/>
    <w:rsid w:val="002E3AA4"/>
    <w:rsid w:val="002F2ACE"/>
    <w:rsid w:val="002F5A91"/>
    <w:rsid w:val="003006BF"/>
    <w:rsid w:val="0031136C"/>
    <w:rsid w:val="00315E04"/>
    <w:rsid w:val="00324D0A"/>
    <w:rsid w:val="00325947"/>
    <w:rsid w:val="0033003C"/>
    <w:rsid w:val="003326C3"/>
    <w:rsid w:val="0035526C"/>
    <w:rsid w:val="003605E9"/>
    <w:rsid w:val="003720A1"/>
    <w:rsid w:val="00372B03"/>
    <w:rsid w:val="00372B30"/>
    <w:rsid w:val="0038193A"/>
    <w:rsid w:val="00381DF7"/>
    <w:rsid w:val="00386658"/>
    <w:rsid w:val="00386E85"/>
    <w:rsid w:val="0038707E"/>
    <w:rsid w:val="003941FD"/>
    <w:rsid w:val="0039750D"/>
    <w:rsid w:val="003A336E"/>
    <w:rsid w:val="003A5D3F"/>
    <w:rsid w:val="003A7EAE"/>
    <w:rsid w:val="003B5289"/>
    <w:rsid w:val="003C4CAD"/>
    <w:rsid w:val="003C74D7"/>
    <w:rsid w:val="003D0F27"/>
    <w:rsid w:val="003D2AB6"/>
    <w:rsid w:val="003D3236"/>
    <w:rsid w:val="003D4458"/>
    <w:rsid w:val="003D47C2"/>
    <w:rsid w:val="003F5508"/>
    <w:rsid w:val="003F550D"/>
    <w:rsid w:val="003F7422"/>
    <w:rsid w:val="00412A1A"/>
    <w:rsid w:val="00413B8A"/>
    <w:rsid w:val="0041468A"/>
    <w:rsid w:val="00414B90"/>
    <w:rsid w:val="0042099F"/>
    <w:rsid w:val="00434FD8"/>
    <w:rsid w:val="00441870"/>
    <w:rsid w:val="004422AD"/>
    <w:rsid w:val="00442E4F"/>
    <w:rsid w:val="00443890"/>
    <w:rsid w:val="00445C12"/>
    <w:rsid w:val="004563C8"/>
    <w:rsid w:val="0046268D"/>
    <w:rsid w:val="00467C5B"/>
    <w:rsid w:val="0047189E"/>
    <w:rsid w:val="00471D5D"/>
    <w:rsid w:val="0048438B"/>
    <w:rsid w:val="00492C59"/>
    <w:rsid w:val="00495D92"/>
    <w:rsid w:val="004A2368"/>
    <w:rsid w:val="004A6A6C"/>
    <w:rsid w:val="004B3018"/>
    <w:rsid w:val="004B4C0D"/>
    <w:rsid w:val="004B5A9C"/>
    <w:rsid w:val="004D1236"/>
    <w:rsid w:val="004D4971"/>
    <w:rsid w:val="004D523F"/>
    <w:rsid w:val="004E0802"/>
    <w:rsid w:val="004E3388"/>
    <w:rsid w:val="004F28DD"/>
    <w:rsid w:val="004F38F2"/>
    <w:rsid w:val="00510784"/>
    <w:rsid w:val="00512EEF"/>
    <w:rsid w:val="00527C38"/>
    <w:rsid w:val="00533991"/>
    <w:rsid w:val="00543E02"/>
    <w:rsid w:val="005518EC"/>
    <w:rsid w:val="005521C0"/>
    <w:rsid w:val="00561DA8"/>
    <w:rsid w:val="005736AB"/>
    <w:rsid w:val="00575DE4"/>
    <w:rsid w:val="00581AD1"/>
    <w:rsid w:val="00583DF5"/>
    <w:rsid w:val="005962A9"/>
    <w:rsid w:val="005A3B08"/>
    <w:rsid w:val="005A6184"/>
    <w:rsid w:val="005A71B3"/>
    <w:rsid w:val="005B3679"/>
    <w:rsid w:val="005B7EEB"/>
    <w:rsid w:val="005C1289"/>
    <w:rsid w:val="005C5FBF"/>
    <w:rsid w:val="005E6866"/>
    <w:rsid w:val="005E7690"/>
    <w:rsid w:val="005F0ADB"/>
    <w:rsid w:val="005F1962"/>
    <w:rsid w:val="005F3C4D"/>
    <w:rsid w:val="00601558"/>
    <w:rsid w:val="00604F37"/>
    <w:rsid w:val="00610F2F"/>
    <w:rsid w:val="006117A0"/>
    <w:rsid w:val="006152C9"/>
    <w:rsid w:val="00615B6A"/>
    <w:rsid w:val="006178FA"/>
    <w:rsid w:val="00624AA3"/>
    <w:rsid w:val="006336E5"/>
    <w:rsid w:val="00642CC6"/>
    <w:rsid w:val="006431B5"/>
    <w:rsid w:val="0064372B"/>
    <w:rsid w:val="0065129B"/>
    <w:rsid w:val="00655641"/>
    <w:rsid w:val="00663B44"/>
    <w:rsid w:val="00671071"/>
    <w:rsid w:val="0067143B"/>
    <w:rsid w:val="006733E2"/>
    <w:rsid w:val="00676CFF"/>
    <w:rsid w:val="0067730D"/>
    <w:rsid w:val="00682FF1"/>
    <w:rsid w:val="0069161F"/>
    <w:rsid w:val="0069182E"/>
    <w:rsid w:val="006A000E"/>
    <w:rsid w:val="006A50B1"/>
    <w:rsid w:val="006A560B"/>
    <w:rsid w:val="006A62E9"/>
    <w:rsid w:val="006B0E54"/>
    <w:rsid w:val="006B60FA"/>
    <w:rsid w:val="006C2E4D"/>
    <w:rsid w:val="006C41EA"/>
    <w:rsid w:val="006C4E9F"/>
    <w:rsid w:val="006D0969"/>
    <w:rsid w:val="006D7FAB"/>
    <w:rsid w:val="006E5D80"/>
    <w:rsid w:val="006F2765"/>
    <w:rsid w:val="006F6F14"/>
    <w:rsid w:val="00704283"/>
    <w:rsid w:val="007120D3"/>
    <w:rsid w:val="00713435"/>
    <w:rsid w:val="007261B4"/>
    <w:rsid w:val="007269E5"/>
    <w:rsid w:val="00733642"/>
    <w:rsid w:val="00735133"/>
    <w:rsid w:val="0073644D"/>
    <w:rsid w:val="00753532"/>
    <w:rsid w:val="00757830"/>
    <w:rsid w:val="00761377"/>
    <w:rsid w:val="00762ED5"/>
    <w:rsid w:val="00763350"/>
    <w:rsid w:val="00765B2D"/>
    <w:rsid w:val="007750A9"/>
    <w:rsid w:val="00792FF6"/>
    <w:rsid w:val="007A423A"/>
    <w:rsid w:val="007A64BF"/>
    <w:rsid w:val="007B6017"/>
    <w:rsid w:val="007E2071"/>
    <w:rsid w:val="007E4078"/>
    <w:rsid w:val="007F5B09"/>
    <w:rsid w:val="0080031B"/>
    <w:rsid w:val="008106FF"/>
    <w:rsid w:val="00815E0E"/>
    <w:rsid w:val="00824957"/>
    <w:rsid w:val="008253A5"/>
    <w:rsid w:val="008300FF"/>
    <w:rsid w:val="0083065A"/>
    <w:rsid w:val="008315D7"/>
    <w:rsid w:val="00833494"/>
    <w:rsid w:val="008343D7"/>
    <w:rsid w:val="00834E16"/>
    <w:rsid w:val="00835612"/>
    <w:rsid w:val="00847C8E"/>
    <w:rsid w:val="0085642F"/>
    <w:rsid w:val="00862145"/>
    <w:rsid w:val="008700EB"/>
    <w:rsid w:val="00872AF0"/>
    <w:rsid w:val="008731D3"/>
    <w:rsid w:val="00885CB6"/>
    <w:rsid w:val="00893801"/>
    <w:rsid w:val="008A6E2C"/>
    <w:rsid w:val="008B0D61"/>
    <w:rsid w:val="008B2114"/>
    <w:rsid w:val="008B2462"/>
    <w:rsid w:val="008C32E6"/>
    <w:rsid w:val="008C3744"/>
    <w:rsid w:val="008E17CC"/>
    <w:rsid w:val="008E3354"/>
    <w:rsid w:val="008E5AC2"/>
    <w:rsid w:val="00915797"/>
    <w:rsid w:val="00921277"/>
    <w:rsid w:val="0092272C"/>
    <w:rsid w:val="0092460F"/>
    <w:rsid w:val="00931CFF"/>
    <w:rsid w:val="009325FB"/>
    <w:rsid w:val="0093266D"/>
    <w:rsid w:val="00933B3C"/>
    <w:rsid w:val="0093671D"/>
    <w:rsid w:val="009456BA"/>
    <w:rsid w:val="00951967"/>
    <w:rsid w:val="009541A6"/>
    <w:rsid w:val="00956C74"/>
    <w:rsid w:val="009616EC"/>
    <w:rsid w:val="0097441C"/>
    <w:rsid w:val="00974681"/>
    <w:rsid w:val="00975794"/>
    <w:rsid w:val="009758B9"/>
    <w:rsid w:val="00977E72"/>
    <w:rsid w:val="00990CFE"/>
    <w:rsid w:val="009A1966"/>
    <w:rsid w:val="009A318D"/>
    <w:rsid w:val="009A5E26"/>
    <w:rsid w:val="009A6C9E"/>
    <w:rsid w:val="009B1415"/>
    <w:rsid w:val="009B2D6D"/>
    <w:rsid w:val="009B4C0F"/>
    <w:rsid w:val="009B501C"/>
    <w:rsid w:val="009B68F4"/>
    <w:rsid w:val="009C01B6"/>
    <w:rsid w:val="009C119D"/>
    <w:rsid w:val="009C6F29"/>
    <w:rsid w:val="009C7B80"/>
    <w:rsid w:val="009D1915"/>
    <w:rsid w:val="009D31AF"/>
    <w:rsid w:val="009D3F5F"/>
    <w:rsid w:val="009D5662"/>
    <w:rsid w:val="009D5AEF"/>
    <w:rsid w:val="009E0EBE"/>
    <w:rsid w:val="009E1C34"/>
    <w:rsid w:val="009E56AD"/>
    <w:rsid w:val="009E6ECF"/>
    <w:rsid w:val="009F6442"/>
    <w:rsid w:val="009F79E5"/>
    <w:rsid w:val="00A1507F"/>
    <w:rsid w:val="00A237F1"/>
    <w:rsid w:val="00A23975"/>
    <w:rsid w:val="00A24FAB"/>
    <w:rsid w:val="00A34394"/>
    <w:rsid w:val="00A35267"/>
    <w:rsid w:val="00A57BE1"/>
    <w:rsid w:val="00A635FB"/>
    <w:rsid w:val="00A71DC2"/>
    <w:rsid w:val="00A82942"/>
    <w:rsid w:val="00A925B5"/>
    <w:rsid w:val="00A964F5"/>
    <w:rsid w:val="00AA0A1A"/>
    <w:rsid w:val="00AB2AA7"/>
    <w:rsid w:val="00AB554F"/>
    <w:rsid w:val="00AC0C80"/>
    <w:rsid w:val="00AC28D0"/>
    <w:rsid w:val="00AC51DA"/>
    <w:rsid w:val="00AC6C5A"/>
    <w:rsid w:val="00AD4579"/>
    <w:rsid w:val="00AD74F4"/>
    <w:rsid w:val="00AE03AE"/>
    <w:rsid w:val="00AE0E49"/>
    <w:rsid w:val="00AE1040"/>
    <w:rsid w:val="00AF6570"/>
    <w:rsid w:val="00B10EBB"/>
    <w:rsid w:val="00B1375E"/>
    <w:rsid w:val="00B15287"/>
    <w:rsid w:val="00B175FD"/>
    <w:rsid w:val="00B210DA"/>
    <w:rsid w:val="00B21E58"/>
    <w:rsid w:val="00B23074"/>
    <w:rsid w:val="00B3327C"/>
    <w:rsid w:val="00B33DF3"/>
    <w:rsid w:val="00B340EF"/>
    <w:rsid w:val="00B4510F"/>
    <w:rsid w:val="00B53595"/>
    <w:rsid w:val="00B57049"/>
    <w:rsid w:val="00B6068E"/>
    <w:rsid w:val="00B6523D"/>
    <w:rsid w:val="00B70A1C"/>
    <w:rsid w:val="00B719C4"/>
    <w:rsid w:val="00B732FF"/>
    <w:rsid w:val="00B733E7"/>
    <w:rsid w:val="00B773B0"/>
    <w:rsid w:val="00B81B43"/>
    <w:rsid w:val="00B81C3E"/>
    <w:rsid w:val="00B832B2"/>
    <w:rsid w:val="00B928DE"/>
    <w:rsid w:val="00B933E0"/>
    <w:rsid w:val="00B9715C"/>
    <w:rsid w:val="00BA185F"/>
    <w:rsid w:val="00BC076E"/>
    <w:rsid w:val="00BC0BB0"/>
    <w:rsid w:val="00BC2B81"/>
    <w:rsid w:val="00BC4C34"/>
    <w:rsid w:val="00BD0EA2"/>
    <w:rsid w:val="00BD0EFF"/>
    <w:rsid w:val="00BD332D"/>
    <w:rsid w:val="00BD669F"/>
    <w:rsid w:val="00BD7475"/>
    <w:rsid w:val="00BD756D"/>
    <w:rsid w:val="00BE2E71"/>
    <w:rsid w:val="00BF1839"/>
    <w:rsid w:val="00BF1F0C"/>
    <w:rsid w:val="00BF3961"/>
    <w:rsid w:val="00BF3E23"/>
    <w:rsid w:val="00C0437C"/>
    <w:rsid w:val="00C21F3C"/>
    <w:rsid w:val="00C249AA"/>
    <w:rsid w:val="00C31996"/>
    <w:rsid w:val="00C41EFC"/>
    <w:rsid w:val="00C43674"/>
    <w:rsid w:val="00C47ADC"/>
    <w:rsid w:val="00C517A9"/>
    <w:rsid w:val="00C60441"/>
    <w:rsid w:val="00C71191"/>
    <w:rsid w:val="00C83CDA"/>
    <w:rsid w:val="00C8505C"/>
    <w:rsid w:val="00C86D2D"/>
    <w:rsid w:val="00C94FFF"/>
    <w:rsid w:val="00CA66C6"/>
    <w:rsid w:val="00CB24BB"/>
    <w:rsid w:val="00CC2B51"/>
    <w:rsid w:val="00CC51C2"/>
    <w:rsid w:val="00CD0AD9"/>
    <w:rsid w:val="00CD68F2"/>
    <w:rsid w:val="00CD7734"/>
    <w:rsid w:val="00CE0CC4"/>
    <w:rsid w:val="00D03D87"/>
    <w:rsid w:val="00D07CE7"/>
    <w:rsid w:val="00D11ECE"/>
    <w:rsid w:val="00D12E6A"/>
    <w:rsid w:val="00D225A0"/>
    <w:rsid w:val="00D24696"/>
    <w:rsid w:val="00D25C99"/>
    <w:rsid w:val="00D34B66"/>
    <w:rsid w:val="00D413EA"/>
    <w:rsid w:val="00D431A7"/>
    <w:rsid w:val="00D454E4"/>
    <w:rsid w:val="00D51761"/>
    <w:rsid w:val="00D53CB5"/>
    <w:rsid w:val="00D6071F"/>
    <w:rsid w:val="00D642E2"/>
    <w:rsid w:val="00D662DC"/>
    <w:rsid w:val="00D670B8"/>
    <w:rsid w:val="00D72DCE"/>
    <w:rsid w:val="00D840CB"/>
    <w:rsid w:val="00D855E6"/>
    <w:rsid w:val="00D92A77"/>
    <w:rsid w:val="00D94B6A"/>
    <w:rsid w:val="00D978C8"/>
    <w:rsid w:val="00DA1A2E"/>
    <w:rsid w:val="00DA28BF"/>
    <w:rsid w:val="00DB7C43"/>
    <w:rsid w:val="00DC0EDB"/>
    <w:rsid w:val="00DC2F6D"/>
    <w:rsid w:val="00DC6BD4"/>
    <w:rsid w:val="00DD7272"/>
    <w:rsid w:val="00DE1AF6"/>
    <w:rsid w:val="00DE7738"/>
    <w:rsid w:val="00DF4259"/>
    <w:rsid w:val="00DF710B"/>
    <w:rsid w:val="00E051A7"/>
    <w:rsid w:val="00E11725"/>
    <w:rsid w:val="00E131DF"/>
    <w:rsid w:val="00E13481"/>
    <w:rsid w:val="00E140B0"/>
    <w:rsid w:val="00E20112"/>
    <w:rsid w:val="00E22A91"/>
    <w:rsid w:val="00E23241"/>
    <w:rsid w:val="00E26698"/>
    <w:rsid w:val="00E313DE"/>
    <w:rsid w:val="00E31EB1"/>
    <w:rsid w:val="00E33F7A"/>
    <w:rsid w:val="00E343F1"/>
    <w:rsid w:val="00E359D1"/>
    <w:rsid w:val="00E41C7E"/>
    <w:rsid w:val="00E44C7F"/>
    <w:rsid w:val="00E5761A"/>
    <w:rsid w:val="00E6579C"/>
    <w:rsid w:val="00E66A4C"/>
    <w:rsid w:val="00E77376"/>
    <w:rsid w:val="00E829B1"/>
    <w:rsid w:val="00E9037D"/>
    <w:rsid w:val="00E92A02"/>
    <w:rsid w:val="00E92EF6"/>
    <w:rsid w:val="00EA301C"/>
    <w:rsid w:val="00EB419C"/>
    <w:rsid w:val="00EB4F04"/>
    <w:rsid w:val="00EB604A"/>
    <w:rsid w:val="00EB7F71"/>
    <w:rsid w:val="00EC0EFD"/>
    <w:rsid w:val="00EC30BB"/>
    <w:rsid w:val="00ED2824"/>
    <w:rsid w:val="00ED474D"/>
    <w:rsid w:val="00ED7E9C"/>
    <w:rsid w:val="00EE1812"/>
    <w:rsid w:val="00F03B06"/>
    <w:rsid w:val="00F15F99"/>
    <w:rsid w:val="00F241DD"/>
    <w:rsid w:val="00F25278"/>
    <w:rsid w:val="00F2593C"/>
    <w:rsid w:val="00F31BEA"/>
    <w:rsid w:val="00F32683"/>
    <w:rsid w:val="00F438A8"/>
    <w:rsid w:val="00F5472A"/>
    <w:rsid w:val="00F56E51"/>
    <w:rsid w:val="00F61E88"/>
    <w:rsid w:val="00F62848"/>
    <w:rsid w:val="00F642C0"/>
    <w:rsid w:val="00F65113"/>
    <w:rsid w:val="00F676DC"/>
    <w:rsid w:val="00F809EE"/>
    <w:rsid w:val="00F86C11"/>
    <w:rsid w:val="00F90DCC"/>
    <w:rsid w:val="00F9416F"/>
    <w:rsid w:val="00F964B0"/>
    <w:rsid w:val="00FA1698"/>
    <w:rsid w:val="00FA521D"/>
    <w:rsid w:val="00FA5276"/>
    <w:rsid w:val="00FA6D3A"/>
    <w:rsid w:val="00FB1F6F"/>
    <w:rsid w:val="00FB225C"/>
    <w:rsid w:val="00FB3033"/>
    <w:rsid w:val="00FC257F"/>
    <w:rsid w:val="00FD5F77"/>
    <w:rsid w:val="00FD62E2"/>
    <w:rsid w:val="00FE0BC6"/>
    <w:rsid w:val="00FE223F"/>
    <w:rsid w:val="00FE3F34"/>
    <w:rsid w:val="00FE577C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2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C0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28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FD8"/>
    <w:pPr>
      <w:spacing w:after="0" w:line="240" w:lineRule="auto"/>
    </w:pPr>
  </w:style>
  <w:style w:type="character" w:customStyle="1" w:styleId="smallcaps">
    <w:name w:val="smallcaps"/>
    <w:basedOn w:val="Domylnaczcionkaakapitu"/>
    <w:rsid w:val="003006BF"/>
  </w:style>
  <w:style w:type="character" w:styleId="Hipercze">
    <w:name w:val="Hyperlink"/>
    <w:basedOn w:val="Domylnaczcionkaakapitu"/>
    <w:uiPriority w:val="99"/>
    <w:unhideWhenUsed/>
    <w:rsid w:val="00445C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5F3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5F3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lista11">
    <w:name w:val="Średnia lista 11"/>
    <w:basedOn w:val="Standardowy"/>
    <w:uiPriority w:val="65"/>
    <w:rsid w:val="005F3C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14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4"/>
  </w:style>
  <w:style w:type="paragraph" w:styleId="Stopka">
    <w:name w:val="footer"/>
    <w:basedOn w:val="Normalny"/>
    <w:link w:val="StopkaZnak"/>
    <w:uiPriority w:val="99"/>
    <w:unhideWhenUsed/>
    <w:rsid w:val="0014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lindert@imbigs.pl" TargetMode="External"/><Relationship Id="rId13" Type="http://schemas.openxmlformats.org/officeDocument/2006/relationships/hyperlink" Target="file:///C:\Users\Wiola\Desktop\IMBiGS\PRACA%20NAUKOWA%20-%20%20POSTERY,%20ARTYKU&#321;Y,%20KONFERENCJE\2014%20-%2056%20KONWERSATORIUM%20KRYSTALOGRAFICZNE%202014\ABSTRAKTY\wl3%20_symmetry_space_group_name_H-M" TargetMode="External"/><Relationship Id="rId18" Type="http://schemas.openxmlformats.org/officeDocument/2006/relationships/hyperlink" Target="file:///I:\IMBIGS\IMBIGS%20-%20WWA%20I%20WELNA%20XRF%20XPS\WWA\W&#321;ASNE%20ARTYKU&#321;Y%20DO%20CZASOPISM%20ANGLOJ&#280;ZYCZNYCH\wl4%20_cell_length_a" TargetMode="External"/><Relationship Id="rId3" Type="http://schemas.openxmlformats.org/officeDocument/2006/relationships/styles" Target="styles.xml"/><Relationship Id="rId21" Type="http://schemas.openxmlformats.org/officeDocument/2006/relationships/hyperlink" Target="file:///I:\IMBIGS\IMBIGS%20-%20WWA%20I%20WELNA%20XRF%20XPS\WWA\W&#321;ASNE%20ARTYKU&#321;Y%20DO%20CZASOPISM%20ANGLOJ&#280;ZYCZNYCH\wl4%20_cell_angle_beta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Wiola\Desktop\IMBiGS\PRACA%20NAUKOWA%20-%20%20POSTERY,%20ARTYKU&#321;Y,%20KONFERENCJE\2014%20-%2056%20KONWERSATORIUM%20KRYSTALOGRAFICZNE%202014\ABSTRAKTY\wl3%20_symmetry_space_group_name_H-M" TargetMode="External"/><Relationship Id="rId17" Type="http://schemas.openxmlformats.org/officeDocument/2006/relationships/hyperlink" Target="file:///I:\IMBIGS\IMBIGS%20-%20WWA%20I%20WELNA%20XRF%20XPS\WWA\W&#321;ASNE%20ARTYKU&#321;Y%20DO%20CZASOPISM%20ANGLOJ&#280;ZYCZNYCH\wl4%20_cell_volu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I:\IMBIGS\IMBIGS%20-%20WWA%20I%20WELNA%20XRF%20XPS\WWA\W&#321;ASNE%20ARTYKU&#321;Y%20DO%20CZASOPISM%20ANGLOJ&#280;ZYCZNYCH\wl3%20_cell_length_c" TargetMode="External"/><Relationship Id="rId20" Type="http://schemas.openxmlformats.org/officeDocument/2006/relationships/hyperlink" Target="file:///I:\IMBIGS\IMBIGS%20-%20WWA%20I%20WELNA%20XRF%20XPS\WWA\W&#321;ASNE%20ARTYKU&#321;Y%20DO%20CZASOPISM%20ANGLOJ&#280;ZYCZNYCH\wl4%20_cell_length_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ola\Desktop\IMBiGS\PRACA%20NAUKOWA%20-%20%20POSTERY,%20ARTYKU&#321;Y,%20KONFERENCJE\2014%20-%2056%20KONWERSATORIUM%20KRYSTALOGRAFICZNE%202014\ABSTRAKTY\wl3%20_symmetry_space_group_name_H-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I:\IMBIGS\IMBIGS%20-%20WWA%20I%20WELNA%20XRF%20XPS\WWA\W&#321;ASNE%20ARTYKU&#321;Y%20DO%20CZASOPISM%20ANGLOJ&#280;ZYCZNYCH\wl3%20_cell_length_b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Wiola\Desktop\IMBiGS\PRACA%20NAUKOWA%20-%20%20POSTERY,%20ARTYKU&#321;Y,%20KONFERENCJE\2014%20-%2056%20KONWERSATORIUM%20KRYSTALOGRAFICZNE%202014\ABSTRAKTY\wl3%20_symmetry_space_group_name_H-M" TargetMode="External"/><Relationship Id="rId19" Type="http://schemas.openxmlformats.org/officeDocument/2006/relationships/hyperlink" Target="file:///I:\IMBIGS\IMBIGS%20-%20WWA%20I%20WELNA%20XRF%20XPS\WWA\W&#321;ASNE%20ARTYKU&#321;Y%20DO%20CZASOPISM%20ANGLOJ&#280;ZYCZNYCH\wl4%20_cell_length_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iola\Desktop\IMBiGS\PRACA%20NAUKOWA%20-%20%20POSTERY,%20ARTYKU&#321;Y,%20KONFERENCJE\2014%20-%2056%20KONWERSATORIUM%20KRYSTALOGRAFICZNE%202014\ABSTRAKTY\wl3%20_symmetry_cell_setting" TargetMode="External"/><Relationship Id="rId14" Type="http://schemas.openxmlformats.org/officeDocument/2006/relationships/hyperlink" Target="file:///I:\IMBIGS\IMBIGS%20-%20WWA%20I%20WELNA%20XRF%20XPS\WWA\W&#321;ASNE%20ARTYKU&#321;Y%20DO%20CZASOPISM%20ANGLOJ&#280;ZYCZNYCH\wl3%20_cell_length_a" TargetMode="External"/><Relationship Id="rId22" Type="http://schemas.openxmlformats.org/officeDocument/2006/relationships/hyperlink" Target="file:///I:\IMBIGS\IMBIGS%20-%20WWA%20I%20WELNA%20XRF%20XPS\WWA\W&#321;ASNE%20ARTYKU&#321;Y%20DO%20CZASOPISM%20ANGLOJ&#280;ZYCZNYCH\wl3%20_cell_volu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058C-F08F-4C52-9598-8E19D19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7</cp:revision>
  <cp:lastPrinted>2015-01-27T06:46:00Z</cp:lastPrinted>
  <dcterms:created xsi:type="dcterms:W3CDTF">2015-02-08T14:45:00Z</dcterms:created>
  <dcterms:modified xsi:type="dcterms:W3CDTF">2015-03-04T10:49:00Z</dcterms:modified>
</cp:coreProperties>
</file>