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C5" w:rsidRPr="00481FC5" w:rsidRDefault="00481FC5" w:rsidP="00B57B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</w:pPr>
      <w:r w:rsidRPr="00481FC5">
        <w:rPr>
          <w:rFonts w:ascii="Times New Roman" w:eastAsia="Calibri" w:hAnsi="Times New Roman" w:cs="Times New Roman"/>
          <w:b/>
          <w:bCs/>
          <w:sz w:val="32"/>
          <w:szCs w:val="32"/>
          <w:lang w:bidi="fa-IR"/>
        </w:rPr>
        <w:t>Supplementary Material</w:t>
      </w:r>
      <w:r w:rsidRPr="00481FC5">
        <w:rPr>
          <w:rFonts w:ascii="Times New Roman" w:eastAsia="Calibri" w:hAnsi="Times New Roman" w:cs="Times New Roman"/>
          <w:b/>
          <w:bCs/>
          <w:sz w:val="32"/>
          <w:szCs w:val="32"/>
          <w:rtl/>
          <w:lang w:bidi="fa-IR"/>
        </w:rPr>
        <w:cr/>
      </w:r>
    </w:p>
    <w:p w:rsidR="00CA43FB" w:rsidRDefault="00CA43F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29">
        <w:rPr>
          <w:rFonts w:ascii="Times New Roman" w:hAnsi="Times New Roman" w:cs="Times New Roman"/>
          <w:b/>
          <w:bCs/>
          <w:sz w:val="24"/>
          <w:szCs w:val="24"/>
        </w:rPr>
        <w:t xml:space="preserve">Nitrogen-modified </w:t>
      </w:r>
      <w:proofErr w:type="spellStart"/>
      <w:r w:rsidRPr="003E7329">
        <w:rPr>
          <w:rFonts w:ascii="Times New Roman" w:hAnsi="Times New Roman" w:cs="Times New Roman"/>
          <w:b/>
          <w:bCs/>
          <w:sz w:val="24"/>
          <w:szCs w:val="24"/>
        </w:rPr>
        <w:t>nanoporous</w:t>
      </w:r>
      <w:proofErr w:type="spellEnd"/>
      <w:r w:rsidRPr="003E7329">
        <w:rPr>
          <w:rFonts w:ascii="Times New Roman" w:hAnsi="Times New Roman" w:cs="Times New Roman"/>
          <w:b/>
          <w:bCs/>
          <w:sz w:val="24"/>
          <w:szCs w:val="24"/>
        </w:rPr>
        <w:t xml:space="preserve"> activated carbon from eucalyptus leaves for ultrasound-assisted removal of basic dyes using derivative spectrophotometric method</w:t>
      </w:r>
    </w:p>
    <w:p w:rsidR="00CA43FB" w:rsidRDefault="00CA43F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790" w:rsidRPr="00C44FE6" w:rsidRDefault="00BF5790" w:rsidP="00B57B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AISAN KHALIGH</w:t>
      </w:r>
      <w:r w:rsidRPr="00AF49E9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*</w:t>
      </w:r>
      <w:r w:rsidRPr="00C44FE6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HASSAN ZAVVAR MOUSAVI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ALIMORAD RASHIDI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and HAMID SHIRKHANLOO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3</w:t>
      </w:r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1</w:t>
      </w:r>
      <w:r w:rsidRPr="00C44FE6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Department of Chemistry, </w:t>
      </w:r>
      <w:proofErr w:type="spellStart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Semnan</w:t>
      </w:r>
      <w:proofErr w:type="spellEnd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University, </w:t>
      </w:r>
      <w:proofErr w:type="spellStart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Semnan</w:t>
      </w:r>
      <w:proofErr w:type="spellEnd"/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35131-1911, Iran.</w:t>
      </w:r>
      <w:proofErr w:type="gramEnd"/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>2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 xml:space="preserve"> 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Nanotechnology Research Center, 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Research Institute of Petroleum Industry (RIPI), West Entrance Blvd., Olympic Village, Tehran 14857-33111, Iran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.</w:t>
      </w:r>
      <w:proofErr w:type="gramEnd"/>
    </w:p>
    <w:p w:rsidR="00BF5790" w:rsidRPr="00C44FE6" w:rsidRDefault="00BF5790" w:rsidP="00B57B5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>3</w:t>
      </w:r>
      <w:r w:rsidRPr="00C44FE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fa-IR"/>
        </w:rPr>
        <w:t xml:space="preserve"> 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Research Institute of Petroleum Industry (RIPI), West Entrance Blvd., Olympic Village,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Tehran</w:t>
      </w:r>
      <w:r w:rsidRPr="00151AA9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14857-33111, Iran</w:t>
      </w: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BF5790" w:rsidRPr="00C44FE6" w:rsidRDefault="00BF5790" w:rsidP="00B57B56">
      <w:pPr>
        <w:tabs>
          <w:tab w:val="left" w:pos="6402"/>
        </w:tabs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fa-IR"/>
        </w:rPr>
        <w:tab/>
      </w:r>
    </w:p>
    <w:p w:rsidR="00BF5790" w:rsidRPr="003137FD" w:rsidRDefault="00BF5790" w:rsidP="00B57B56">
      <w:pPr>
        <w:adjustRightInd w:val="0"/>
        <w:spacing w:before="120" w:after="120" w:line="360" w:lineRule="auto"/>
        <w:jc w:val="both"/>
        <w:rPr>
          <w:rFonts w:ascii="Times New Roman" w:eastAsia="GulliverRM" w:hAnsi="Times New Roman" w:cs="Times New Roman"/>
          <w:sz w:val="24"/>
          <w:szCs w:val="24"/>
        </w:rPr>
      </w:pPr>
      <w:r w:rsidRPr="003137F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137FD">
        <w:rPr>
          <w:rFonts w:ascii="Times New Roman" w:eastAsia="GulliverRM" w:hAnsi="Times New Roman" w:cs="Times New Roman"/>
          <w:sz w:val="24"/>
          <w:szCs w:val="24"/>
        </w:rPr>
        <w:t>Corresponding author</w:t>
      </w:r>
      <w:r>
        <w:rPr>
          <w:rFonts w:ascii="Times New Roman" w:eastAsia="GulliverRM" w:hAnsi="Times New Roman" w:cs="Times New Roman"/>
          <w:sz w:val="24"/>
          <w:szCs w:val="24"/>
        </w:rPr>
        <w:t>:</w:t>
      </w:r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 A. </w:t>
      </w:r>
      <w:proofErr w:type="spellStart"/>
      <w:r w:rsidRPr="003137FD">
        <w:rPr>
          <w:rFonts w:ascii="Times New Roman" w:eastAsia="GulliverRM" w:hAnsi="Times New Roman" w:cs="Times New Roman"/>
          <w:sz w:val="24"/>
          <w:szCs w:val="24"/>
        </w:rPr>
        <w:t>Khaligh</w:t>
      </w:r>
      <w:proofErr w:type="spellEnd"/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; Tel: +98 23 </w:t>
      </w:r>
      <w:r w:rsidRPr="003137FD">
        <w:rPr>
          <w:rFonts w:ascii="Times New Roman" w:eastAsia="Times New Roman" w:hAnsi="Times New Roman" w:cs="Times New Roman"/>
          <w:sz w:val="24"/>
          <w:szCs w:val="24"/>
        </w:rPr>
        <w:t xml:space="preserve">3366194; Fax: </w:t>
      </w:r>
      <w:r w:rsidRPr="003137FD">
        <w:rPr>
          <w:rFonts w:ascii="Times New Roman" w:eastAsia="GulliverRM" w:hAnsi="Times New Roman" w:cs="Times New Roman"/>
          <w:sz w:val="24"/>
          <w:szCs w:val="24"/>
        </w:rPr>
        <w:t xml:space="preserve">+98 23 </w:t>
      </w:r>
      <w:r w:rsidRPr="003137FD">
        <w:rPr>
          <w:rFonts w:ascii="Times New Roman" w:eastAsia="Times New Roman" w:hAnsi="Times New Roman" w:cs="Times New Roman"/>
          <w:sz w:val="24"/>
          <w:szCs w:val="24"/>
        </w:rPr>
        <w:t xml:space="preserve">3354110. </w:t>
      </w:r>
    </w:p>
    <w:p w:rsidR="00BF5790" w:rsidRPr="003137FD" w:rsidRDefault="00BF5790" w:rsidP="00B57B5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7FD">
        <w:rPr>
          <w:rFonts w:ascii="Times New Roman" w:eastAsia="Times New Roman" w:hAnsi="Times New Roman" w:cs="Times New Roman"/>
          <w:sz w:val="24"/>
          <w:szCs w:val="24"/>
        </w:rPr>
        <w:t>E-mail address: akhalighv@</w:t>
      </w:r>
      <w:r w:rsidRPr="003137FD">
        <w:rPr>
          <w:rFonts w:ascii="Times New Roman" w:hAnsi="Times New Roman" w:cs="Times New Roman"/>
          <w:sz w:val="24"/>
          <w:szCs w:val="24"/>
        </w:rPr>
        <w:t>gmail.com</w:t>
      </w:r>
    </w:p>
    <w:p w:rsidR="00BF5790" w:rsidRDefault="00BF5790" w:rsidP="00B57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F9B" w:rsidRDefault="00701F9B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6" w:rsidRDefault="00B57B56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C62" w:rsidRDefault="00955C62" w:rsidP="00B57B5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C62" w:rsidRDefault="00955C62" w:rsidP="00955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C62" w:rsidRPr="00231D5C" w:rsidRDefault="00955C62" w:rsidP="00955C6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D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FT-IR analysis of the pristine and modified AC samples</w:t>
      </w:r>
    </w:p>
    <w:p w:rsidR="008204E3" w:rsidRPr="00240084" w:rsidRDefault="00955C62" w:rsidP="002F3E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31D5C">
        <w:rPr>
          <w:rFonts w:ascii="Times New Roman" w:hAnsi="Times New Roman" w:cs="Times New Roman"/>
          <w:sz w:val="24"/>
          <w:szCs w:val="24"/>
        </w:rPr>
        <w:t xml:space="preserve">FT-IR spectra </w:t>
      </w:r>
      <w:r w:rsidR="002F3EFD" w:rsidRPr="00231D5C">
        <w:rPr>
          <w:rFonts w:ascii="Times New Roman" w:hAnsi="Times New Roman" w:cs="Times New Roman"/>
          <w:sz w:val="24"/>
          <w:szCs w:val="24"/>
        </w:rPr>
        <w:t xml:space="preserve">of </w:t>
      </w:r>
      <w:r w:rsidRPr="00231D5C">
        <w:rPr>
          <w:rFonts w:ascii="Times New Roman" w:hAnsi="Times New Roman" w:cs="Times New Roman"/>
          <w:sz w:val="24"/>
          <w:szCs w:val="24"/>
        </w:rPr>
        <w:t xml:space="preserve">modified AC samples were shown in Figs. </w:t>
      </w:r>
      <w:proofErr w:type="gramStart"/>
      <w:r w:rsidRPr="00231D5C">
        <w:rPr>
          <w:rFonts w:ascii="Times New Roman" w:hAnsi="Times New Roman" w:cs="Times New Roman"/>
          <w:sz w:val="24"/>
          <w:szCs w:val="24"/>
        </w:rPr>
        <w:t>S-1(a)-(b).</w:t>
      </w:r>
      <w:proofErr w:type="gramEnd"/>
      <w:r w:rsidRPr="00231D5C">
        <w:rPr>
          <w:rFonts w:ascii="Times New Roman" w:hAnsi="Times New Roman" w:cs="Times New Roman"/>
          <w:sz w:val="24"/>
          <w:szCs w:val="24"/>
        </w:rPr>
        <w:t xml:space="preserve"> </w:t>
      </w:r>
      <w:r w:rsidR="00D10CCB" w:rsidRPr="00231D5C">
        <w:rPr>
          <w:rFonts w:ascii="Times New Roman" w:hAnsi="Times New Roman" w:cs="Times New Roman"/>
          <w:sz w:val="24"/>
          <w:szCs w:val="24"/>
        </w:rPr>
        <w:t xml:space="preserve">For oxidized AC (Fig. S-1a), </w:t>
      </w:r>
      <w:r w:rsidRPr="00231D5C">
        <w:rPr>
          <w:rFonts w:ascii="Times New Roman" w:hAnsi="Times New Roman" w:cs="Times New Roman"/>
          <w:sz w:val="24"/>
          <w:szCs w:val="24"/>
        </w:rPr>
        <w:t>the peak at 3430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is attributed to O–H stretching vibrations of the absorbed water molecules and structural OH groups (phenol, alcohol, and carboxylic acid). The peak at 1725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is related to C=O stretching in ketones and carboxylic acids</w:t>
      </w:r>
      <w:r w:rsidR="00D10CCB" w:rsidRPr="00231D5C">
        <w:rPr>
          <w:rFonts w:ascii="Times New Roman" w:hAnsi="Times New Roman" w:cs="Times New Roman"/>
          <w:sz w:val="24"/>
          <w:szCs w:val="24"/>
        </w:rPr>
        <w:t xml:space="preserve"> and the peak at 1705 cm-1 is associated to C=O stretching in lactones</w:t>
      </w:r>
      <w:r w:rsidRPr="00231D5C">
        <w:rPr>
          <w:rFonts w:ascii="Times New Roman" w:hAnsi="Times New Roman" w:cs="Times New Roman"/>
          <w:sz w:val="24"/>
          <w:szCs w:val="24"/>
        </w:rPr>
        <w:t>. The broad peak at 1100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FPFGG G+ Adv O T 863180fb" w:hAnsi="FPFGG G+ Adv O T 863180fb" w:cs="FPFGG G+ Adv O T 863180fb"/>
          <w:sz w:val="16"/>
          <w:szCs w:val="16"/>
        </w:rPr>
        <w:t xml:space="preserve"> </w:t>
      </w:r>
      <w:r w:rsidRPr="00231D5C">
        <w:rPr>
          <w:rFonts w:ascii="Times New Roman" w:hAnsi="Times New Roman" w:cs="Times New Roman"/>
          <w:sz w:val="24"/>
          <w:szCs w:val="24"/>
        </w:rPr>
        <w:t>is corresponded to C-O stretching vibrations. The two bands at 2850–2950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and the peak at 162</w:t>
      </w:r>
      <w:r w:rsidR="00D10CCB" w:rsidRPr="00231D5C">
        <w:rPr>
          <w:rFonts w:ascii="Times New Roman" w:hAnsi="Times New Roman" w:cs="Times New Roman"/>
          <w:sz w:val="24"/>
          <w:szCs w:val="24"/>
        </w:rPr>
        <w:t>8</w:t>
      </w:r>
      <w:r w:rsidRPr="00231D5C">
        <w:rPr>
          <w:rFonts w:ascii="Times New Roman" w:hAnsi="Times New Roman" w:cs="Times New Roman"/>
          <w:sz w:val="24"/>
          <w:szCs w:val="24"/>
        </w:rPr>
        <w:t xml:space="preserve">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are assigned to C–H and C=C stretching vibrations, respectively. As shown in Fig. S-1</w:t>
      </w:r>
      <w:r w:rsidR="00D10CCB" w:rsidRPr="00231D5C">
        <w:rPr>
          <w:rFonts w:ascii="Times New Roman" w:hAnsi="Times New Roman" w:cs="Times New Roman"/>
          <w:sz w:val="24"/>
          <w:szCs w:val="24"/>
        </w:rPr>
        <w:t>b</w:t>
      </w:r>
      <w:r w:rsidRPr="00231D5C">
        <w:rPr>
          <w:rFonts w:ascii="Times New Roman" w:hAnsi="Times New Roman" w:cs="Times New Roman"/>
          <w:sz w:val="24"/>
          <w:szCs w:val="24"/>
        </w:rPr>
        <w:t>, for nitrogen-modified AC, the -NH</w:t>
      </w:r>
      <w:r w:rsidRPr="00231D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1D5C">
        <w:rPr>
          <w:rFonts w:ascii="Times New Roman" w:hAnsi="Times New Roman" w:cs="Times New Roman"/>
          <w:sz w:val="24"/>
          <w:szCs w:val="24"/>
        </w:rPr>
        <w:t xml:space="preserve"> and –OH groups were indicated by the peaks at 3330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and 3444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>, respectively. The peaks at 1150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231D5C">
        <w:rPr>
          <w:rFonts w:ascii="Times New Roman" w:hAnsi="Times New Roman" w:cs="Times New Roman"/>
          <w:sz w:val="24"/>
          <w:szCs w:val="24"/>
        </w:rPr>
        <w:t>and 1220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231D5C">
        <w:rPr>
          <w:rFonts w:ascii="Times New Roman" w:hAnsi="Times New Roman" w:cs="Times New Roman"/>
          <w:sz w:val="24"/>
          <w:szCs w:val="24"/>
        </w:rPr>
        <w:t xml:space="preserve">were attributed to -C-N (aliphatic and aromatic) stretching vibration. As can be seen from </w:t>
      </w:r>
      <w:r w:rsidR="002F3EFD" w:rsidRPr="00231D5C">
        <w:rPr>
          <w:rFonts w:ascii="Times New Roman" w:hAnsi="Times New Roman" w:cs="Times New Roman"/>
          <w:sz w:val="24"/>
          <w:szCs w:val="24"/>
        </w:rPr>
        <w:t>this Figure</w:t>
      </w:r>
      <w:r w:rsidRPr="00231D5C">
        <w:rPr>
          <w:rFonts w:ascii="Times New Roman" w:hAnsi="Times New Roman" w:cs="Times New Roman"/>
          <w:sz w:val="24"/>
          <w:szCs w:val="24"/>
        </w:rPr>
        <w:t>, most of the carboxylic acid groups were eliminated from the surface of OAC by urea treatment of this sample; this is reflected by disappearance of the 1725 cm</w:t>
      </w:r>
      <w:r w:rsidRPr="00231D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31D5C">
        <w:rPr>
          <w:rFonts w:ascii="Times New Roman" w:hAnsi="Times New Roman" w:cs="Times New Roman"/>
          <w:sz w:val="24"/>
          <w:szCs w:val="24"/>
        </w:rPr>
        <w:t xml:space="preserve"> band in the spectrum of NOAC sample, which exists in the spectra of the </w:t>
      </w:r>
      <w:r w:rsidR="002F3EFD" w:rsidRPr="00231D5C">
        <w:rPr>
          <w:rFonts w:ascii="Times New Roman" w:hAnsi="Times New Roman" w:cs="Times New Roman"/>
          <w:sz w:val="24"/>
          <w:szCs w:val="24"/>
        </w:rPr>
        <w:t>oxidized AC sample</w:t>
      </w:r>
      <w:r w:rsidRPr="00231D5C">
        <w:rPr>
          <w:rFonts w:ascii="Times New Roman" w:hAnsi="Times New Roman" w:cs="Times New Roman"/>
          <w:sz w:val="24"/>
          <w:szCs w:val="24"/>
        </w:rPr>
        <w:t>.</w:t>
      </w:r>
    </w:p>
    <w:p w:rsidR="008204E3" w:rsidRPr="008204E3" w:rsidRDefault="00B06C59" w:rsidP="0010048C">
      <w:pPr>
        <w:widowControl w:val="0"/>
        <w:bidi/>
        <w:spacing w:after="0" w:line="360" w:lineRule="auto"/>
        <w:ind w:left="-610"/>
        <w:jc w:val="center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Lotus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6210300" cy="4759670"/>
            <wp:effectExtent l="0" t="0" r="0" b="3175"/>
            <wp:docPr id="10" name="Picture 10" descr="G:\gggggg\MY papers\G-C &amp; AC\AC\J. Ser. Chem. Soc\Figures\F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ggggg\MY papers\G-C &amp; AC\AC\J. Ser. Chem. Soc\Figures\FT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15" cy="47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E3" w:rsidRDefault="008204E3" w:rsidP="00151936">
      <w:pPr>
        <w:spacing w:line="360" w:lineRule="auto"/>
        <w:ind w:left="990" w:hanging="9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Fig</w:t>
      </w:r>
      <w:r w:rsidR="00404D91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="00996A1D" w:rsidRPr="00BF5790">
        <w:rPr>
          <w:rFonts w:ascii="Times New Roman" w:hAnsi="Times New Roman" w:cs="Times New Roman"/>
          <w:sz w:val="24"/>
          <w:szCs w:val="24"/>
        </w:rPr>
        <w:t>1</w:t>
      </w:r>
      <w:r w:rsidR="0024383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</w:rPr>
        <w:t xml:space="preserve"> FTIR spectra of (a) oxidized AC and (</w:t>
      </w:r>
      <w:r w:rsidR="002F3EFD">
        <w:rPr>
          <w:rFonts w:ascii="Times New Roman" w:hAnsi="Times New Roman" w:cs="Times New Roman"/>
          <w:sz w:val="24"/>
          <w:szCs w:val="24"/>
        </w:rPr>
        <w:t>b</w:t>
      </w:r>
      <w:r w:rsidRPr="008204E3">
        <w:rPr>
          <w:rFonts w:ascii="Times New Roman" w:hAnsi="Times New Roman" w:cs="Times New Roman"/>
          <w:sz w:val="24"/>
          <w:szCs w:val="24"/>
        </w:rPr>
        <w:t>) nitrogen-modified AC.</w:t>
      </w:r>
    </w:p>
    <w:p w:rsidR="002F3EFD" w:rsidRDefault="002F3EFD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36" w:rsidRDefault="00151936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36" w:rsidRDefault="00151936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FD" w:rsidRPr="008204E3" w:rsidRDefault="002F3EFD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10048C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5A135">
            <wp:extent cx="5149324" cy="3371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08" cy="337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4E3" w:rsidRPr="008204E3" w:rsidRDefault="008204E3" w:rsidP="00B57B5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Fig</w:t>
      </w:r>
      <w:r w:rsidR="00404D91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Pr="00BF5790">
        <w:rPr>
          <w:rFonts w:ascii="Times New Roman" w:hAnsi="Times New Roman" w:cs="Times New Roman"/>
          <w:sz w:val="24"/>
          <w:szCs w:val="24"/>
        </w:rPr>
        <w:t>2</w:t>
      </w:r>
      <w:r w:rsidR="0024383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</w:rPr>
        <w:t xml:space="preserve"> Final pH versus initial pH plots for pristine, oxidized and nitrogen modified AC samples. </w:t>
      </w: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5D0" w:rsidRDefault="00151936" w:rsidP="00151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170345" wp14:editId="45E53CBE">
            <wp:extent cx="5715000" cy="5514975"/>
            <wp:effectExtent l="0" t="0" r="0" b="9525"/>
            <wp:docPr id="2" name="Picture 2" descr="G:\gggggg\MY papers\G-C &amp; AC\AC\J. Ser. Chem. Soc\Figures\Fig.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ggggg\MY papers\G-C &amp; AC\AC\J. Ser. Chem. Soc\Figures\Fig. 4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34" cy="55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D0" w:rsidRPr="00675535" w:rsidRDefault="006B75D0" w:rsidP="006B75D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535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675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S-3</w:t>
      </w:r>
      <w:r w:rsidRPr="00675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535">
        <w:rPr>
          <w:rFonts w:ascii="Times New Roman" w:hAnsi="Times New Roman" w:cs="Times New Roman"/>
          <w:sz w:val="24"/>
          <w:szCs w:val="24"/>
        </w:rPr>
        <w:t xml:space="preserve"> First order derivative spectra of BR46 and BY13 in binary solutions in the range of 5–20 </w:t>
      </w:r>
      <w:r w:rsidRPr="00675535">
        <w:rPr>
          <w:rFonts w:ascii="Times New Roman" w:hAnsi="Times New Roman" w:cs="Times New Roman"/>
          <w:sz w:val="24"/>
          <w:szCs w:val="24"/>
          <w:lang w:bidi="fa-IR"/>
        </w:rPr>
        <w:t>mg L</w:t>
      </w:r>
      <w:r w:rsidRPr="00675535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 xml:space="preserve">-1 </w:t>
      </w:r>
      <w:r w:rsidRPr="00675535">
        <w:rPr>
          <w:rFonts w:ascii="Times New Roman" w:hAnsi="Times New Roman" w:cs="Times New Roman"/>
          <w:sz w:val="24"/>
          <w:szCs w:val="24"/>
        </w:rPr>
        <w:t>of each two dyes concentration.</w:t>
      </w: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CB" w:rsidRDefault="004165C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6B7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6B7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6B7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37B" w:rsidRDefault="005C38B2" w:rsidP="005C38B2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A5F39">
            <wp:extent cx="4380931" cy="5713952"/>
            <wp:effectExtent l="0" t="0" r="63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6"/>
                    <a:stretch/>
                  </pic:blipFill>
                  <pic:spPr bwMode="auto">
                    <a:xfrm>
                      <a:off x="0" y="0"/>
                      <a:ext cx="4382487" cy="571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E6A" w:rsidRDefault="005C38B2" w:rsidP="00D66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S-4.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37B">
        <w:rPr>
          <w:rFonts w:ascii="Times New Roman" w:eastAsia="Calibri" w:hAnsi="Times New Roman" w:cs="Times New Roman"/>
          <w:sz w:val="24"/>
          <w:szCs w:val="24"/>
        </w:rPr>
        <w:t xml:space="preserve">Langmuir plots for </w:t>
      </w:r>
      <w:r w:rsidRPr="00C7537B">
        <w:rPr>
          <w:rFonts w:ascii="Times New Roman" w:hAnsi="Times New Roman" w:cs="Times New Roman"/>
          <w:sz w:val="24"/>
          <w:szCs w:val="24"/>
          <w:lang w:bidi="fa-IR"/>
        </w:rPr>
        <w:t>the adsorption of BY13 and BR46 dyes onto NOAC in single and binary dye solution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D66E6A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>(</w:t>
      </w:r>
      <w:proofErr w:type="spellStart"/>
      <w:r w:rsidR="00D66E6A" w:rsidRPr="00B85CF3">
        <w:rPr>
          <w:rFonts w:ascii="Times New Roman" w:hAnsi="Times New Roman" w:cs="Times New Roman"/>
          <w:i/>
          <w:iCs/>
          <w:sz w:val="24"/>
          <w:szCs w:val="24"/>
          <w:lang w:bidi="fa-IR"/>
        </w:rPr>
        <w:t>V</w:t>
      </w:r>
      <w:r w:rsidR="00D66E6A" w:rsidRPr="00B85CF3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solution</w:t>
      </w:r>
      <w:proofErr w:type="spellEnd"/>
      <w:r w:rsidR="00D66E6A">
        <w:rPr>
          <w:rFonts w:ascii="Times New Roman" w:hAnsi="Times New Roman" w:cs="Times New Roman"/>
          <w:sz w:val="24"/>
          <w:szCs w:val="24"/>
          <w:lang w:bidi="fa-IR"/>
        </w:rPr>
        <w:t xml:space="preserve">=100 mL, </w:t>
      </w:r>
      <w:proofErr w:type="spellStart"/>
      <w:r w:rsidR="00B85CF3">
        <w:rPr>
          <w:rFonts w:ascii="Times New Roman" w:hAnsi="Times New Roman" w:cs="Times New Roman"/>
          <w:sz w:val="24"/>
          <w:szCs w:val="24"/>
          <w:lang w:bidi="fa-IR"/>
        </w:rPr>
        <w:t>C</w:t>
      </w:r>
      <w:r w:rsidR="00B85CF3" w:rsidRPr="00B85CF3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single</w:t>
      </w:r>
      <w:proofErr w:type="spellEnd"/>
      <w:r w:rsidR="00B85CF3">
        <w:rPr>
          <w:rFonts w:ascii="Times New Roman" w:hAnsi="Times New Roman" w:cs="Times New Roman"/>
          <w:sz w:val="24"/>
          <w:szCs w:val="24"/>
          <w:lang w:bidi="fa-IR"/>
        </w:rPr>
        <w:t>=200=400 mg L</w:t>
      </w:r>
      <w:r w:rsidR="00B85CF3" w:rsidRPr="00B85CF3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-1</w:t>
      </w:r>
      <w:r w:rsidR="00B85CF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85CF3">
        <w:rPr>
          <w:rFonts w:ascii="Times New Roman" w:hAnsi="Times New Roman" w:cs="Times New Roman"/>
          <w:sz w:val="24"/>
          <w:szCs w:val="24"/>
          <w:lang w:bidi="fa-IR"/>
        </w:rPr>
        <w:t>C</w:t>
      </w:r>
      <w:r w:rsidR="00B85CF3" w:rsidRPr="00B85CF3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mix</w:t>
      </w:r>
      <w:proofErr w:type="spellEnd"/>
      <w:r w:rsidR="00B85CF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EE333B">
        <w:rPr>
          <w:rFonts w:ascii="Times New Roman" w:hAnsi="Times New Roman" w:cs="Times New Roman"/>
          <w:sz w:val="24"/>
          <w:szCs w:val="24"/>
          <w:lang w:bidi="fa-IR"/>
        </w:rPr>
        <w:t xml:space="preserve">150-300 </w:t>
      </w:r>
      <w:r w:rsidR="00EE333B">
        <w:rPr>
          <w:rFonts w:ascii="Times New Roman" w:hAnsi="Times New Roman" w:cs="Times New Roman"/>
          <w:sz w:val="24"/>
          <w:szCs w:val="24"/>
          <w:lang w:bidi="fa-IR"/>
        </w:rPr>
        <w:t>mg L</w:t>
      </w:r>
      <w:r w:rsidR="00EE333B" w:rsidRPr="00B85CF3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-1</w:t>
      </w:r>
      <w:r w:rsidR="00EE333B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pH=9, </w:t>
      </w:r>
      <w:r w:rsidR="00D66E6A"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=30 mg, </w:t>
      </w:r>
      <w:r w:rsidR="00D66E6A"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= </w:t>
      </w:r>
      <w:r w:rsidR="00D66E6A">
        <w:rPr>
          <w:rFonts w:ascii="Times New Roman" w:hAnsi="Times New Roman" w:cs="Times New Roman"/>
          <w:sz w:val="24"/>
          <w:szCs w:val="24"/>
          <w:lang w:bidi="fa-IR"/>
        </w:rPr>
        <w:t>8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 min, </w:t>
      </w:r>
      <w:r w:rsidR="00D66E6A"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D66E6A" w:rsidRPr="005416A4">
        <w:rPr>
          <w:rFonts w:ascii="Times New Roman" w:hAnsi="Times New Roman" w:cs="Times New Roman"/>
          <w:sz w:val="24"/>
          <w:szCs w:val="24"/>
          <w:lang w:bidi="fa-IR"/>
        </w:rPr>
        <w:t>=25 ºC).</w:t>
      </w:r>
    </w:p>
    <w:p w:rsidR="005C38B2" w:rsidRDefault="005C38B2" w:rsidP="00D66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D9F" w:rsidRDefault="00C57D9F" w:rsidP="00C57D9F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DF2BDA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799BA">
            <wp:extent cx="5145206" cy="383502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76" cy="383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6A4" w:rsidRDefault="005416A4" w:rsidP="00541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S-5.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B96">
        <w:rPr>
          <w:rFonts w:ascii="Times New Roman" w:hAnsi="Times New Roman" w:cs="Times New Roman"/>
          <w:sz w:val="24"/>
          <w:szCs w:val="24"/>
        </w:rPr>
        <w:t>Pseudo-second order</w:t>
      </w:r>
      <w:r>
        <w:rPr>
          <w:rFonts w:ascii="Times New Roman" w:hAnsi="Times New Roman" w:cs="Times New Roman"/>
          <w:sz w:val="24"/>
          <w:szCs w:val="24"/>
        </w:rPr>
        <w:t xml:space="preserve"> kinetic</w:t>
      </w:r>
      <w:r w:rsidRPr="00C7537B">
        <w:rPr>
          <w:rFonts w:ascii="Times New Roman" w:eastAsia="Calibri" w:hAnsi="Times New Roman" w:cs="Times New Roman"/>
          <w:sz w:val="24"/>
          <w:szCs w:val="24"/>
        </w:rPr>
        <w:t xml:space="preserve"> plots for </w:t>
      </w:r>
      <w:r w:rsidRPr="00C7537B">
        <w:rPr>
          <w:rFonts w:ascii="Times New Roman" w:hAnsi="Times New Roman" w:cs="Times New Roman"/>
          <w:sz w:val="24"/>
          <w:szCs w:val="24"/>
          <w:lang w:bidi="fa-IR"/>
        </w:rPr>
        <w:t>the adsorption of BY13 and BR46 dyes onto NOAC in binary dye solution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5416A4">
        <w:rPr>
          <w:rFonts w:ascii="Times New Roman" w:hAnsi="Times New Roman" w:cs="Times New Roman"/>
          <w:sz w:val="24"/>
          <w:szCs w:val="24"/>
          <w:lang w:bidi="fa-IR"/>
        </w:rPr>
        <w:t>(100 mL of 150 mg L</w:t>
      </w:r>
      <w:r w:rsidRPr="005416A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-1</w:t>
      </w:r>
      <w:r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 dyes solution, pH=9, </w:t>
      </w:r>
      <w:r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=30 mg, </w:t>
      </w:r>
      <w:r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Pr="005416A4">
        <w:rPr>
          <w:rFonts w:ascii="Times New Roman" w:hAnsi="Times New Roman" w:cs="Times New Roman"/>
          <w:sz w:val="24"/>
          <w:szCs w:val="24"/>
          <w:lang w:bidi="fa-IR"/>
        </w:rPr>
        <w:t xml:space="preserve">= 2-6 min, </w:t>
      </w:r>
      <w:r w:rsidRPr="005416A4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Pr="005416A4">
        <w:rPr>
          <w:rFonts w:ascii="Times New Roman" w:hAnsi="Times New Roman" w:cs="Times New Roman"/>
          <w:sz w:val="24"/>
          <w:szCs w:val="24"/>
          <w:lang w:bidi="fa-IR"/>
        </w:rPr>
        <w:t>=25 ºC).</w:t>
      </w:r>
    </w:p>
    <w:p w:rsidR="00DF2BDA" w:rsidRDefault="00DF2BDA" w:rsidP="005416A4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DF2BDA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DA" w:rsidRDefault="00DF2BDA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6A4" w:rsidRDefault="005416A4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D9F" w:rsidRDefault="004756E3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1105469</wp:posOffset>
                </wp:positionH>
                <wp:positionV relativeFrom="paragraph">
                  <wp:posOffset>-54591</wp:posOffset>
                </wp:positionV>
                <wp:extent cx="4080680" cy="6728346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0680" cy="6728346"/>
                          <a:chOff x="0" y="0"/>
                          <a:chExt cx="3867150" cy="6278823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3867150" cy="291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38B2" w:rsidRDefault="005C38B2" w:rsidP="004756E3">
                              <w:pPr>
                                <w:ind w:left="-90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EA8222" wp14:editId="688F2D8A">
                                    <wp:extent cx="3867149" cy="2867025"/>
                                    <wp:effectExtent l="0" t="0" r="635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68486" cy="28680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906973"/>
                            <a:ext cx="3867150" cy="3371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38B2" w:rsidRDefault="005C38B2" w:rsidP="004756E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:rsidR="004756E3" w:rsidRDefault="004756E3" w:rsidP="004756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2B3C328" wp14:editId="5552B67D">
                                    <wp:extent cx="3733800" cy="312420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35091" cy="312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56E3" w:rsidRDefault="004756E3" w:rsidP="005C38B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7.05pt;margin-top:-4.3pt;width:321.3pt;height:529.8pt;z-index:251661312;mso-width-relative:margin;mso-height-relative:margin" coordsize="38671,6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38671;height:2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5C38B2" w:rsidRDefault="005C38B2" w:rsidP="004756E3">
                        <w:pPr>
                          <w:ind w:left="-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EA8222" wp14:editId="688F2D8A">
                              <wp:extent cx="3867149" cy="2867025"/>
                              <wp:effectExtent l="0" t="0" r="63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68486" cy="2868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28" type="#_x0000_t202" style="position:absolute;top:29069;width:38671;height:3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<v:textbox>
                    <w:txbxContent>
                      <w:p w:rsidR="005C38B2" w:rsidRDefault="005C38B2" w:rsidP="004756E3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  <w:p w:rsidR="004756E3" w:rsidRDefault="004756E3" w:rsidP="004756E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2B3C328" wp14:editId="5552B67D">
                              <wp:extent cx="3733800" cy="31242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35091" cy="312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56E3" w:rsidRDefault="004756E3" w:rsidP="005C38B2"/>
                    </w:txbxContent>
                  </v:textbox>
                </v:shape>
              </v:group>
            </w:pict>
          </mc:Fallback>
        </mc:AlternateContent>
      </w:r>
    </w:p>
    <w:p w:rsidR="005C38B2" w:rsidRDefault="005C38B2" w:rsidP="005C38B2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8B2" w:rsidRDefault="005C38B2" w:rsidP="00C57D9F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5D0" w:rsidRDefault="006B75D0" w:rsidP="005C38B2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28" w:rsidRDefault="00243128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243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4756E3" w:rsidRDefault="004756E3" w:rsidP="006B75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7572F2" w:rsidRDefault="00DF3E09" w:rsidP="001C00EC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Fig.</w:t>
      </w:r>
      <w:proofErr w:type="gramEnd"/>
      <w:r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="001C00EC">
        <w:rPr>
          <w:rFonts w:ascii="Times New Roman" w:hAnsi="Times New Roman" w:cs="Times New Roman"/>
          <w:sz w:val="24"/>
          <w:szCs w:val="24"/>
          <w:lang w:bidi="fa-IR"/>
        </w:rPr>
        <w:t>6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7572F2"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Effect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 of solven</w:t>
      </w:r>
      <w:r w:rsidR="00996A1D">
        <w:rPr>
          <w:rFonts w:ascii="Times New Roman" w:hAnsi="Times New Roman" w:cs="Times New Roman"/>
          <w:sz w:val="24"/>
          <w:szCs w:val="24"/>
          <w:lang w:bidi="fa-IR"/>
        </w:rPr>
        <w:t xml:space="preserve">t type and concentration on </w:t>
      </w:r>
      <w:proofErr w:type="gramStart"/>
      <w:r w:rsidR="00996A1D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>desorption</w:t>
      </w:r>
      <w:proofErr w:type="gramEnd"/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 xml:space="preserve">(a)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BY13 and 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 xml:space="preserve">(b) 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>BR46 dyes from loaded NAC (desorption so</w:t>
      </w:r>
      <w:r w:rsidR="005416A4">
        <w:rPr>
          <w:rFonts w:ascii="Times New Roman" w:hAnsi="Times New Roman" w:cs="Times New Roman"/>
          <w:sz w:val="24"/>
          <w:szCs w:val="24"/>
          <w:lang w:bidi="fa-IR"/>
        </w:rPr>
        <w:t>lvent volume 100 mL, spent NOAC=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30 mg, </w:t>
      </w:r>
      <w:r w:rsidR="007572F2"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7572F2" w:rsidRPr="00C44FE6">
        <w:rPr>
          <w:rFonts w:ascii="Times New Roman" w:hAnsi="Times New Roman" w:cs="Times New Roman"/>
          <w:sz w:val="24"/>
          <w:szCs w:val="24"/>
          <w:lang w:bidi="fa-IR"/>
        </w:rPr>
        <w:t xml:space="preserve">8 min, </w:t>
      </w:r>
      <w:r w:rsidR="007572F2" w:rsidRPr="00852760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7572F2">
        <w:rPr>
          <w:rFonts w:ascii="Times New Roman" w:hAnsi="Times New Roman" w:cs="Times New Roman"/>
          <w:sz w:val="24"/>
          <w:szCs w:val="24"/>
          <w:lang w:bidi="fa-IR"/>
        </w:rPr>
        <w:t>=25 ºC).</w:t>
      </w: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43830" w:rsidRDefault="00243830" w:rsidP="00B57B5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6E0729" w:rsidRDefault="001C00EC" w:rsidP="006E072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w:t>ABLE</w:t>
      </w:r>
      <w:r w:rsidRPr="00BF5790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S-1. </w:t>
      </w:r>
      <w:r w:rsidRPr="00CB1C3B">
        <w:rPr>
          <w:rFonts w:ascii="Times New Roman" w:hAnsi="Times New Roman" w:cs="Times New Roman"/>
          <w:noProof/>
          <w:sz w:val="24"/>
          <w:szCs w:val="24"/>
          <w:lang w:bidi="fa-IR"/>
        </w:rPr>
        <w:t>Chemical structure and properties of basic dyes used in this study.</w:t>
      </w:r>
    </w:p>
    <w:tbl>
      <w:tblPr>
        <w:tblStyle w:val="TableGrid4"/>
        <w:tblpPr w:leftFromText="180" w:rightFromText="180" w:vertAnchor="page" w:horzAnchor="margin" w:tblpY="3016"/>
        <w:tblW w:w="9090" w:type="dxa"/>
        <w:tblLayout w:type="fixed"/>
        <w:tblLook w:val="04A0" w:firstRow="1" w:lastRow="0" w:firstColumn="1" w:lastColumn="0" w:noHBand="0" w:noVBand="1"/>
      </w:tblPr>
      <w:tblGrid>
        <w:gridCol w:w="3690"/>
        <w:gridCol w:w="1890"/>
        <w:gridCol w:w="990"/>
        <w:gridCol w:w="720"/>
        <w:gridCol w:w="1800"/>
      </w:tblGrid>
      <w:tr w:rsidR="006E0729" w:rsidRPr="00CB1C3B" w:rsidTr="006E0729"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Chemical structure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Commercial name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C. I. number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0729" w:rsidRPr="00852760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bidi="fa-IR"/>
              </w:rPr>
            </w:pPr>
            <w:r w:rsidRPr="0085276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bidi="fa-IR"/>
              </w:rPr>
              <w:t>λ</w:t>
            </w:r>
            <w:r w:rsidRPr="0085276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bscript"/>
                <w:lang w:bidi="fa-IR"/>
              </w:rPr>
              <w:t>max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Molecular weigth, g mol</w:t>
            </w:r>
            <w:r w:rsidRPr="0085276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bidi="fa-IR"/>
              </w:rPr>
              <w:t>-1</w:t>
            </w:r>
          </w:p>
        </w:tc>
      </w:tr>
      <w:tr w:rsidR="006E0729" w:rsidRPr="00CB1C3B" w:rsidTr="006E0729">
        <w:trPr>
          <w:trHeight w:val="1887"/>
        </w:trPr>
        <w:tc>
          <w:tcPr>
            <w:tcW w:w="36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AdvOT5843c571" w:eastAsiaTheme="minorEastAsia" w:hAnsi="AdvOT5843c571" w:cs="B Lotus"/>
                <w:noProof/>
                <w:sz w:val="28"/>
                <w:szCs w:val="28"/>
                <w:rtl/>
              </w:rPr>
              <w:drawing>
                <wp:inline distT="0" distB="0" distL="0" distR="0" wp14:anchorId="75B17299" wp14:editId="33865DEE">
                  <wp:extent cx="2324100" cy="1066800"/>
                  <wp:effectExtent l="0" t="0" r="0" b="0"/>
                  <wp:docPr id="35" name="Picture 35" descr="C:\Users\lenovo\Desktop\Basic-Red-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Basic-Red-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Basic Red 46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110825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530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401.3</w:t>
            </w:r>
          </w:p>
        </w:tc>
      </w:tr>
      <w:tr w:rsidR="006E0729" w:rsidRPr="00CB1C3B" w:rsidTr="006E0729">
        <w:trPr>
          <w:trHeight w:val="1502"/>
        </w:trPr>
        <w:tc>
          <w:tcPr>
            <w:tcW w:w="36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AdvOT5843c571" w:hAnsi="AdvOT5843c571" w:cs="B Lotus"/>
                <w:noProof/>
                <w:sz w:val="28"/>
                <w:szCs w:val="28"/>
                <w:rtl/>
              </w:rPr>
              <w:drawing>
                <wp:inline distT="0" distB="0" distL="0" distR="0" wp14:anchorId="44CE4129" wp14:editId="37A6A999">
                  <wp:extent cx="2190750" cy="1247775"/>
                  <wp:effectExtent l="0" t="0" r="0" b="9525"/>
                  <wp:docPr id="36" name="Picture 36" descr="C:\Users\lenovo\Desktop\Basic-Yellow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Basic-Yellow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48" cy="12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Basic Yellow 13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48056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411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729" w:rsidRPr="00CB1C3B" w:rsidRDefault="006E0729" w:rsidP="006E072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</w:pPr>
            <w:r w:rsidRPr="00CB1C3B"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t>342.86</w:t>
            </w:r>
          </w:p>
        </w:tc>
      </w:tr>
    </w:tbl>
    <w:p w:rsidR="001C00EC" w:rsidRDefault="001C00EC" w:rsidP="001C00EC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3B1F0F" w:rsidRDefault="003B1F0F" w:rsidP="00B57B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3B1F0F" w:rsidRDefault="003B1F0F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C00EC" w:rsidRDefault="001C00EC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C00EC" w:rsidRDefault="001C00EC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C00EC" w:rsidRDefault="001C00EC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Pr="00CB1C3B" w:rsidRDefault="00CB1C3B" w:rsidP="00B57B56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</w:rPr>
        <w:t>T</w:t>
      </w:r>
      <w:r w:rsidR="00BF5790">
        <w:rPr>
          <w:rFonts w:ascii="Times New Roman" w:hAnsi="Times New Roman" w:cs="Times New Roman"/>
          <w:sz w:val="24"/>
          <w:szCs w:val="24"/>
        </w:rPr>
        <w:t>ABLE</w: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  <w:r w:rsidR="00701F9B" w:rsidRPr="00BF5790">
        <w:rPr>
          <w:rFonts w:ascii="Times New Roman" w:hAnsi="Times New Roman" w:cs="Times New Roman"/>
          <w:sz w:val="24"/>
          <w:szCs w:val="24"/>
        </w:rPr>
        <w:t>S</w:t>
      </w:r>
      <w:r w:rsidR="00BF5790" w:rsidRPr="00BF5790">
        <w:rPr>
          <w:rFonts w:ascii="Times New Roman" w:hAnsi="Times New Roman" w:cs="Times New Roman"/>
          <w:sz w:val="24"/>
          <w:szCs w:val="24"/>
        </w:rPr>
        <w:t>-</w:t>
      </w:r>
      <w:r w:rsidRPr="00BF5790">
        <w:rPr>
          <w:rFonts w:ascii="Times New Roman" w:hAnsi="Times New Roman" w:cs="Times New Roman"/>
          <w:sz w:val="24"/>
          <w:szCs w:val="24"/>
        </w:rPr>
        <w:t>2</w:t>
      </w:r>
      <w:r w:rsidR="00BF5790" w:rsidRPr="00BF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C3B">
        <w:rPr>
          <w:rFonts w:ascii="Times New Roman" w:hAnsi="Times New Roman" w:cs="Times New Roman"/>
          <w:sz w:val="24"/>
          <w:szCs w:val="24"/>
        </w:rPr>
        <w:t>Initial dye concentrations in single and binary systems.</w:t>
      </w:r>
      <w:proofErr w:type="gramEnd"/>
    </w:p>
    <w:tbl>
      <w:tblPr>
        <w:tblStyle w:val="TableGrid5"/>
        <w:tblW w:w="9499" w:type="dxa"/>
        <w:tblLook w:val="04A0" w:firstRow="1" w:lastRow="0" w:firstColumn="1" w:lastColumn="0" w:noHBand="0" w:noVBand="1"/>
      </w:tblPr>
      <w:tblGrid>
        <w:gridCol w:w="1410"/>
        <w:gridCol w:w="1440"/>
        <w:gridCol w:w="236"/>
        <w:gridCol w:w="1504"/>
        <w:gridCol w:w="1481"/>
        <w:gridCol w:w="236"/>
        <w:gridCol w:w="1575"/>
        <w:gridCol w:w="1617"/>
      </w:tblGrid>
      <w:tr w:rsidR="00CB1C3B" w:rsidRPr="00CB1C3B" w:rsidTr="00EE2B4A">
        <w:tc>
          <w:tcPr>
            <w:tcW w:w="2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 system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 System (1)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 System (2)</w:t>
            </w:r>
          </w:p>
        </w:tc>
      </w:tr>
      <w:tr w:rsidR="002E5D91" w:rsidRPr="00CB1C3B" w:rsidTr="00EE2B4A">
        <w:trPr>
          <w:trHeight w:val="1023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CB1C3B" w:rsidRDefault="002E5D91" w:rsidP="00B57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CB1C3B" w:rsidRDefault="002E5D91" w:rsidP="00B57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BR46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D91" w:rsidRPr="002E5D91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E5D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BY13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5D91" w:rsidRPr="00CB1C3B" w:rsidRDefault="002E5D91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B1C3B" w:rsidRPr="00CB1C3B" w:rsidTr="00EE2B4A">
        <w:trPr>
          <w:trHeight w:val="710"/>
        </w:trPr>
        <w:tc>
          <w:tcPr>
            <w:tcW w:w="1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  <w:p w:rsidR="00CB1C3B" w:rsidRPr="00CB1C3B" w:rsidRDefault="00CB1C3B" w:rsidP="00B57B5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B1C3B" w:rsidRPr="00CB1C3B" w:rsidRDefault="00CB1C3B" w:rsidP="00B57B56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6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</w:tr>
    </w:tbl>
    <w:p w:rsidR="00CB1C3B" w:rsidRPr="00CB1C3B" w:rsidRDefault="00CB1C3B" w:rsidP="00B57B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7572F2" w:rsidRDefault="007572F2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7572F2" w:rsidRDefault="007572F2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C00EC" w:rsidRDefault="001C00EC" w:rsidP="001C00E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C00EC" w:rsidRDefault="001C00EC" w:rsidP="001C00E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B57B56" w:rsidRDefault="00B57B56" w:rsidP="00B57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8204E3" w:rsidRPr="008204E3" w:rsidRDefault="008204E3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BF5790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F5790">
        <w:rPr>
          <w:rFonts w:ascii="Times New Roman" w:hAnsi="Times New Roman" w:cs="Times New Roman"/>
          <w:sz w:val="24"/>
          <w:szCs w:val="24"/>
          <w:lang w:bidi="fa-IR"/>
        </w:rPr>
        <w:t>ABLE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S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="00BF5790">
        <w:rPr>
          <w:rFonts w:ascii="Times New Roman" w:hAnsi="Times New Roman" w:cs="Times New Roman"/>
          <w:sz w:val="24"/>
          <w:szCs w:val="24"/>
          <w:lang w:bidi="fa-IR"/>
        </w:rPr>
        <w:t>III</w:t>
      </w:r>
      <w:r w:rsidR="00BF5790"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Pr="008204E3">
        <w:rPr>
          <w:rFonts w:ascii="Times New Roman" w:hAnsi="Times New Roman" w:cs="Times New Roman"/>
          <w:sz w:val="24"/>
          <w:szCs w:val="24"/>
          <w:lang w:bidi="fa-IR"/>
        </w:rPr>
        <w:t xml:space="preserve"> Determination of percentage recovery and error values for BR46 and BY13 in binary mixture by zero and first order derivative spectra methods.</w:t>
      </w:r>
    </w:p>
    <w:tbl>
      <w:tblPr>
        <w:tblStyle w:val="TableGrid3"/>
        <w:bidiVisual/>
        <w:tblW w:w="8028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90"/>
        <w:gridCol w:w="236"/>
        <w:gridCol w:w="1108"/>
        <w:gridCol w:w="881"/>
        <w:gridCol w:w="233"/>
        <w:gridCol w:w="940"/>
        <w:gridCol w:w="931"/>
        <w:gridCol w:w="239"/>
        <w:gridCol w:w="763"/>
        <w:gridCol w:w="907"/>
      </w:tblGrid>
      <w:tr w:rsidR="008204E3" w:rsidRPr="008204E3" w:rsidTr="00B57B56">
        <w:trPr>
          <w:trHeight w:val="528"/>
        </w:trPr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Error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, %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Recovery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, %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:rsidR="008204E3" w:rsidRPr="00B57B56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m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 xml:space="preserve"> 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 w:rsidR="00B57B56"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="00B57B56"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t</w:t>
            </w:r>
            <w:r w:rsidR="00B57B56"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B5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 w:rsidR="00B57B56"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="00B57B56"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204E3" w:rsidRPr="008204E3" w:rsidTr="00AE7105">
        <w:trPr>
          <w:trHeight w:val="375"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BR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C</w:t>
            </w: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bidi="fa-IR"/>
              </w:rPr>
              <w:t>BY</w:t>
            </w:r>
          </w:p>
        </w:tc>
      </w:tr>
      <w:tr w:rsidR="008204E3" w:rsidRPr="008204E3" w:rsidTr="00AE7105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+1.20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-3.40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96.60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5.06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4.83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5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102.50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97.25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8.20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7.78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8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102.00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9.65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98.00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14.70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15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95.78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17.40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17.24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18</w:t>
            </w:r>
          </w:p>
        </w:tc>
      </w:tr>
      <w:tr w:rsidR="008204E3" w:rsidRPr="008204E3" w:rsidTr="00AE7105"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+1.90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204E3" w:rsidRPr="008204E3" w:rsidRDefault="008204E3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101.25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20.38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20.25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4E3" w:rsidRPr="008204E3" w:rsidRDefault="008204E3" w:rsidP="00B57B5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20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20</w:t>
            </w:r>
          </w:p>
        </w:tc>
      </w:tr>
    </w:tbl>
    <w:p w:rsidR="008204E3" w:rsidRP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F2" w:rsidRDefault="007572F2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3B" w:rsidRPr="00CB1C3B" w:rsidRDefault="00BF5790" w:rsidP="00B57B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TABLE</w:t>
      </w:r>
      <w:r w:rsidR="00CB1C3B" w:rsidRPr="00BF5790">
        <w:rPr>
          <w:rFonts w:ascii="Times New Roman" w:hAnsi="Times New Roman" w:cs="Times New Roman"/>
          <w:sz w:val="24"/>
          <w:szCs w:val="24"/>
          <w:lang w:bidi="fa-IR"/>
        </w:rPr>
        <w:t xml:space="preserve"> S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-</w:t>
      </w:r>
      <w:r>
        <w:rPr>
          <w:rFonts w:ascii="Times New Roman" w:hAnsi="Times New Roman" w:cs="Times New Roman"/>
          <w:sz w:val="24"/>
          <w:szCs w:val="24"/>
          <w:lang w:bidi="fa-IR"/>
        </w:rPr>
        <w:t>IV</w:t>
      </w:r>
      <w:r w:rsidRPr="00BF5790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CB1C3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CB1C3B" w:rsidRPr="00CB1C3B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CB1C3B" w:rsidRPr="00CB1C3B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L</w:t>
      </w:r>
      <w:r w:rsidR="00CB1C3B" w:rsidRPr="00CB1C3B">
        <w:rPr>
          <w:rFonts w:ascii="Times New Roman" w:hAnsi="Times New Roman" w:cs="Times New Roman"/>
          <w:sz w:val="24"/>
          <w:szCs w:val="24"/>
          <w:lang w:bidi="fa-IR"/>
        </w:rPr>
        <w:t xml:space="preserve"> values for BY13 and BR46 dyes in single and binary solutions. </w:t>
      </w:r>
    </w:p>
    <w:tbl>
      <w:tblPr>
        <w:tblStyle w:val="TableGrid6"/>
        <w:tblpPr w:leftFromText="180" w:rightFromText="180" w:vertAnchor="text" w:horzAnchor="page" w:tblpX="1903" w:tblpY="107"/>
        <w:tblW w:w="0" w:type="auto"/>
        <w:tblLook w:val="04A0" w:firstRow="1" w:lastRow="0" w:firstColumn="1" w:lastColumn="0" w:noHBand="0" w:noVBand="1"/>
      </w:tblPr>
      <w:tblGrid>
        <w:gridCol w:w="1531"/>
        <w:gridCol w:w="1321"/>
        <w:gridCol w:w="1339"/>
        <w:gridCol w:w="1339"/>
        <w:gridCol w:w="1339"/>
      </w:tblGrid>
      <w:tr w:rsidR="00CB1C3B" w:rsidRPr="00CB1C3B" w:rsidTr="00B57B56">
        <w:trPr>
          <w:trHeight w:val="255"/>
        </w:trPr>
        <w:tc>
          <w:tcPr>
            <w:tcW w:w="153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B1C3B" w:rsidRPr="00CB1C3B" w:rsidRDefault="00B57B56" w:rsidP="00B57B56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bidi="fa-IR"/>
              </w:rPr>
              <w:t>0</w:t>
            </w:r>
            <w:r w:rsidRPr="00B57B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2E5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</w:t>
            </w:r>
            <w:r w:rsidRPr="00CB1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35288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BY13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B57B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</w:t>
            </w:r>
            <w:r w:rsidRPr="00CB1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35288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BR46</w:t>
            </w:r>
          </w:p>
        </w:tc>
      </w:tr>
      <w:tr w:rsidR="00CB1C3B" w:rsidRPr="00CB1C3B" w:rsidTr="00B57B56">
        <w:trPr>
          <w:trHeight w:val="70"/>
        </w:trPr>
        <w:tc>
          <w:tcPr>
            <w:tcW w:w="153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</w:tr>
      <w:tr w:rsidR="00CB1C3B" w:rsidRPr="00CB1C3B" w:rsidTr="00B57B56"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150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0.014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0.011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0.009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0.008</w:t>
            </w:r>
          </w:p>
        </w:tc>
      </w:tr>
      <w:tr w:rsidR="00CB1C3B" w:rsidRPr="00CB1C3B" w:rsidTr="00B57B56"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1C3B" w:rsidRPr="00CB1C3B" w:rsidRDefault="00CB1C3B" w:rsidP="00B57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CB1C3B" w:rsidRDefault="00CB1C3B" w:rsidP="00B57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CB1C3B" w:rsidRPr="008204E3" w:rsidRDefault="00CB1C3B" w:rsidP="00B57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3" w:rsidRDefault="008204E3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p w:rsidR="00CB1C3B" w:rsidRDefault="00CB1C3B" w:rsidP="00B57B56">
      <w:pPr>
        <w:pStyle w:val="ListParagraph"/>
        <w:bidi w:val="0"/>
        <w:spacing w:line="360" w:lineRule="auto"/>
        <w:ind w:left="0"/>
        <w:rPr>
          <w:rFonts w:ascii="Times New Roman" w:hAnsi="Times New Roman" w:cs="Times New Roman"/>
        </w:rPr>
      </w:pPr>
    </w:p>
    <w:sectPr w:rsidR="00CB1C3B" w:rsidSect="005110FD">
      <w:footerReference w:type="default" r:id="rId20"/>
      <w:pgSz w:w="11907" w:h="16839" w:code="9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4C" w:rsidRDefault="00755A4C" w:rsidP="005F5AFC">
      <w:pPr>
        <w:spacing w:after="0" w:line="240" w:lineRule="auto"/>
      </w:pPr>
      <w:r>
        <w:separator/>
      </w:r>
    </w:p>
  </w:endnote>
  <w:endnote w:type="continuationSeparator" w:id="0">
    <w:p w:rsidR="00755A4C" w:rsidRDefault="00755A4C" w:rsidP="005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PFGG G+ Adv O T 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9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F0F" w:rsidRDefault="003B1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F0F" w:rsidRDefault="003B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4C" w:rsidRDefault="00755A4C" w:rsidP="005F5AFC">
      <w:pPr>
        <w:spacing w:after="0" w:line="240" w:lineRule="auto"/>
      </w:pPr>
      <w:r>
        <w:separator/>
      </w:r>
    </w:p>
  </w:footnote>
  <w:footnote w:type="continuationSeparator" w:id="0">
    <w:p w:rsidR="00755A4C" w:rsidRDefault="00755A4C" w:rsidP="005F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4606"/>
    <w:multiLevelType w:val="hybridMultilevel"/>
    <w:tmpl w:val="A88CB2CE"/>
    <w:lvl w:ilvl="0" w:tplc="8B560094">
      <w:start w:val="1"/>
      <w:numFmt w:val="lowerLetter"/>
      <w:lvlText w:val="(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544F2EB3"/>
    <w:multiLevelType w:val="hybridMultilevel"/>
    <w:tmpl w:val="5414D878"/>
    <w:lvl w:ilvl="0" w:tplc="B03677D2">
      <w:start w:val="1"/>
      <w:numFmt w:val="lowerLetter"/>
      <w:lvlText w:val="(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chemical Journal-Mn&lt;/Style&gt;&lt;LeftDelim&gt;{&lt;/LeftDelim&gt;&lt;RightDelim&gt;}&lt;/RightDelim&gt;&lt;FontName&gt;Times New Roman&lt;/FontName&gt;&lt;FontSize&gt;12&lt;/FontSize&gt;&lt;ReflistTitle&gt;&lt;/ReflistTitle&gt;&lt;StartingRefnum&gt;49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fvzrpr7pd5zfex5pfx5wphextp0rzpvp2z&quot;&gt;59&lt;record-ids&gt;&lt;item&gt;870&lt;/item&gt;&lt;item&gt;871&lt;/item&gt;&lt;item&gt;915&lt;/item&gt;&lt;item&gt;921&lt;/item&gt;&lt;item&gt;1273&lt;/item&gt;&lt;item&gt;1274&lt;/item&gt;&lt;item&gt;1275&lt;/item&gt;&lt;item&gt;1276&lt;/item&gt;&lt;item&gt;1277&lt;/item&gt;&lt;item&gt;1278&lt;/item&gt;&lt;item&gt;1279&lt;/item&gt;&lt;item&gt;1280&lt;/item&gt;&lt;item&gt;1281&lt;/item&gt;&lt;/record-ids&gt;&lt;/item&gt;&lt;/Libraries&gt;"/>
  </w:docVars>
  <w:rsids>
    <w:rsidRoot w:val="00FA7F49"/>
    <w:rsid w:val="00006100"/>
    <w:rsid w:val="00017E41"/>
    <w:rsid w:val="00035CAD"/>
    <w:rsid w:val="00040F8F"/>
    <w:rsid w:val="00041AC7"/>
    <w:rsid w:val="00045EAE"/>
    <w:rsid w:val="0004709F"/>
    <w:rsid w:val="00050B0F"/>
    <w:rsid w:val="00056931"/>
    <w:rsid w:val="0007732E"/>
    <w:rsid w:val="000A2FC7"/>
    <w:rsid w:val="000A5F06"/>
    <w:rsid w:val="000B156B"/>
    <w:rsid w:val="000C791E"/>
    <w:rsid w:val="000D4A70"/>
    <w:rsid w:val="000E4EFF"/>
    <w:rsid w:val="000E713D"/>
    <w:rsid w:val="000F18B3"/>
    <w:rsid w:val="0010048C"/>
    <w:rsid w:val="001013CB"/>
    <w:rsid w:val="00124384"/>
    <w:rsid w:val="00133ACC"/>
    <w:rsid w:val="001439AF"/>
    <w:rsid w:val="00151936"/>
    <w:rsid w:val="00151AA9"/>
    <w:rsid w:val="00151B89"/>
    <w:rsid w:val="00166CF7"/>
    <w:rsid w:val="00173D0E"/>
    <w:rsid w:val="001941FA"/>
    <w:rsid w:val="001B299A"/>
    <w:rsid w:val="001C00EC"/>
    <w:rsid w:val="001D7FA4"/>
    <w:rsid w:val="001F24D8"/>
    <w:rsid w:val="00203E41"/>
    <w:rsid w:val="0021513E"/>
    <w:rsid w:val="00221BA6"/>
    <w:rsid w:val="00231D5C"/>
    <w:rsid w:val="00240084"/>
    <w:rsid w:val="002414D2"/>
    <w:rsid w:val="00243128"/>
    <w:rsid w:val="00243830"/>
    <w:rsid w:val="00243D0F"/>
    <w:rsid w:val="0025590A"/>
    <w:rsid w:val="0025655E"/>
    <w:rsid w:val="00275DF7"/>
    <w:rsid w:val="002851BD"/>
    <w:rsid w:val="002A334D"/>
    <w:rsid w:val="002C3728"/>
    <w:rsid w:val="002C6184"/>
    <w:rsid w:val="002D68F6"/>
    <w:rsid w:val="002E4A69"/>
    <w:rsid w:val="002E5D91"/>
    <w:rsid w:val="002E7E7E"/>
    <w:rsid w:val="002F08CF"/>
    <w:rsid w:val="002F2E9D"/>
    <w:rsid w:val="002F3EFD"/>
    <w:rsid w:val="002F74B0"/>
    <w:rsid w:val="002F76E3"/>
    <w:rsid w:val="00316CE3"/>
    <w:rsid w:val="00352880"/>
    <w:rsid w:val="00357299"/>
    <w:rsid w:val="003755EC"/>
    <w:rsid w:val="00377A4B"/>
    <w:rsid w:val="00384EA6"/>
    <w:rsid w:val="00385F2F"/>
    <w:rsid w:val="00387F0F"/>
    <w:rsid w:val="003B1F0F"/>
    <w:rsid w:val="003B2C0E"/>
    <w:rsid w:val="003B7939"/>
    <w:rsid w:val="003C7AB0"/>
    <w:rsid w:val="003D2979"/>
    <w:rsid w:val="003D3E98"/>
    <w:rsid w:val="003D44C4"/>
    <w:rsid w:val="003E09BC"/>
    <w:rsid w:val="003E4090"/>
    <w:rsid w:val="003F0870"/>
    <w:rsid w:val="003F42A7"/>
    <w:rsid w:val="00404D91"/>
    <w:rsid w:val="0041096B"/>
    <w:rsid w:val="004165CB"/>
    <w:rsid w:val="00417F70"/>
    <w:rsid w:val="00432E10"/>
    <w:rsid w:val="0043648C"/>
    <w:rsid w:val="00436615"/>
    <w:rsid w:val="004406C6"/>
    <w:rsid w:val="00444BB0"/>
    <w:rsid w:val="00454B60"/>
    <w:rsid w:val="00454BEF"/>
    <w:rsid w:val="004562B4"/>
    <w:rsid w:val="004675DC"/>
    <w:rsid w:val="00473D3B"/>
    <w:rsid w:val="00474713"/>
    <w:rsid w:val="004756E3"/>
    <w:rsid w:val="0047572F"/>
    <w:rsid w:val="00476499"/>
    <w:rsid w:val="00481FC5"/>
    <w:rsid w:val="004A03DD"/>
    <w:rsid w:val="004A30AD"/>
    <w:rsid w:val="004C39CE"/>
    <w:rsid w:val="004F71E1"/>
    <w:rsid w:val="00507A7E"/>
    <w:rsid w:val="005110FD"/>
    <w:rsid w:val="00512FA9"/>
    <w:rsid w:val="005160B6"/>
    <w:rsid w:val="0051707A"/>
    <w:rsid w:val="005376B2"/>
    <w:rsid w:val="005416A4"/>
    <w:rsid w:val="0056154B"/>
    <w:rsid w:val="005670CC"/>
    <w:rsid w:val="00567C48"/>
    <w:rsid w:val="00575C74"/>
    <w:rsid w:val="00577DCA"/>
    <w:rsid w:val="005829A5"/>
    <w:rsid w:val="00584DF2"/>
    <w:rsid w:val="00593146"/>
    <w:rsid w:val="005A29CE"/>
    <w:rsid w:val="005A7E35"/>
    <w:rsid w:val="005B07B0"/>
    <w:rsid w:val="005C38B2"/>
    <w:rsid w:val="005D270F"/>
    <w:rsid w:val="005F5AFC"/>
    <w:rsid w:val="0060436D"/>
    <w:rsid w:val="00612575"/>
    <w:rsid w:val="00612806"/>
    <w:rsid w:val="006424CF"/>
    <w:rsid w:val="006504F5"/>
    <w:rsid w:val="00680653"/>
    <w:rsid w:val="0068452A"/>
    <w:rsid w:val="006B75D0"/>
    <w:rsid w:val="006C78CC"/>
    <w:rsid w:val="006D49C2"/>
    <w:rsid w:val="006E0729"/>
    <w:rsid w:val="006F5522"/>
    <w:rsid w:val="006F7A1A"/>
    <w:rsid w:val="00701F9B"/>
    <w:rsid w:val="00717CDF"/>
    <w:rsid w:val="00726C37"/>
    <w:rsid w:val="00734554"/>
    <w:rsid w:val="00741793"/>
    <w:rsid w:val="00755A4C"/>
    <w:rsid w:val="007572F2"/>
    <w:rsid w:val="00780CA6"/>
    <w:rsid w:val="00784A4F"/>
    <w:rsid w:val="007935F1"/>
    <w:rsid w:val="00795DA9"/>
    <w:rsid w:val="00796DAA"/>
    <w:rsid w:val="007C4D44"/>
    <w:rsid w:val="007D4EE7"/>
    <w:rsid w:val="007E1525"/>
    <w:rsid w:val="007E1D2E"/>
    <w:rsid w:val="007E61AD"/>
    <w:rsid w:val="007E6C95"/>
    <w:rsid w:val="007F421B"/>
    <w:rsid w:val="007F462A"/>
    <w:rsid w:val="00815AA6"/>
    <w:rsid w:val="008204E3"/>
    <w:rsid w:val="00845D71"/>
    <w:rsid w:val="00852760"/>
    <w:rsid w:val="0085584F"/>
    <w:rsid w:val="00877E6F"/>
    <w:rsid w:val="00885A90"/>
    <w:rsid w:val="00895FEC"/>
    <w:rsid w:val="008B2F35"/>
    <w:rsid w:val="008D42DD"/>
    <w:rsid w:val="008F0EFB"/>
    <w:rsid w:val="00904ACA"/>
    <w:rsid w:val="0091538E"/>
    <w:rsid w:val="00931963"/>
    <w:rsid w:val="00937773"/>
    <w:rsid w:val="009433BD"/>
    <w:rsid w:val="00946656"/>
    <w:rsid w:val="00952FBB"/>
    <w:rsid w:val="00955C62"/>
    <w:rsid w:val="00961DB7"/>
    <w:rsid w:val="00971B95"/>
    <w:rsid w:val="00983017"/>
    <w:rsid w:val="00994168"/>
    <w:rsid w:val="00996A1D"/>
    <w:rsid w:val="009C445D"/>
    <w:rsid w:val="009D4519"/>
    <w:rsid w:val="009D6F59"/>
    <w:rsid w:val="00A02E50"/>
    <w:rsid w:val="00A36BC9"/>
    <w:rsid w:val="00A46E4A"/>
    <w:rsid w:val="00A4762C"/>
    <w:rsid w:val="00A60BD4"/>
    <w:rsid w:val="00A61E27"/>
    <w:rsid w:val="00A7781A"/>
    <w:rsid w:val="00A852D7"/>
    <w:rsid w:val="00A958D3"/>
    <w:rsid w:val="00AA115A"/>
    <w:rsid w:val="00AA1263"/>
    <w:rsid w:val="00AA45E6"/>
    <w:rsid w:val="00AB1DCD"/>
    <w:rsid w:val="00AD6F5D"/>
    <w:rsid w:val="00AD7FC5"/>
    <w:rsid w:val="00AF1542"/>
    <w:rsid w:val="00B06C59"/>
    <w:rsid w:val="00B17CE8"/>
    <w:rsid w:val="00B24820"/>
    <w:rsid w:val="00B358F3"/>
    <w:rsid w:val="00B55882"/>
    <w:rsid w:val="00B55B84"/>
    <w:rsid w:val="00B57B56"/>
    <w:rsid w:val="00B65213"/>
    <w:rsid w:val="00B85CF3"/>
    <w:rsid w:val="00B953C8"/>
    <w:rsid w:val="00BB51FF"/>
    <w:rsid w:val="00BB724E"/>
    <w:rsid w:val="00BC1C7F"/>
    <w:rsid w:val="00BC3FF7"/>
    <w:rsid w:val="00BC56FD"/>
    <w:rsid w:val="00BD421F"/>
    <w:rsid w:val="00BD5E48"/>
    <w:rsid w:val="00BE5E0E"/>
    <w:rsid w:val="00BF5790"/>
    <w:rsid w:val="00C02043"/>
    <w:rsid w:val="00C34BFE"/>
    <w:rsid w:val="00C46233"/>
    <w:rsid w:val="00C519F7"/>
    <w:rsid w:val="00C57D9F"/>
    <w:rsid w:val="00C745AF"/>
    <w:rsid w:val="00C7537B"/>
    <w:rsid w:val="00C8201F"/>
    <w:rsid w:val="00C84149"/>
    <w:rsid w:val="00C85153"/>
    <w:rsid w:val="00C96CB5"/>
    <w:rsid w:val="00CA2760"/>
    <w:rsid w:val="00CA43FB"/>
    <w:rsid w:val="00CB1C3B"/>
    <w:rsid w:val="00CB2217"/>
    <w:rsid w:val="00CD1897"/>
    <w:rsid w:val="00CE0A4E"/>
    <w:rsid w:val="00CE3C20"/>
    <w:rsid w:val="00D10CCB"/>
    <w:rsid w:val="00D14455"/>
    <w:rsid w:val="00D25798"/>
    <w:rsid w:val="00D57DC2"/>
    <w:rsid w:val="00D66E6A"/>
    <w:rsid w:val="00D77F27"/>
    <w:rsid w:val="00D86072"/>
    <w:rsid w:val="00D873A1"/>
    <w:rsid w:val="00D87F9C"/>
    <w:rsid w:val="00D9396E"/>
    <w:rsid w:val="00DC3D6A"/>
    <w:rsid w:val="00DF2BDA"/>
    <w:rsid w:val="00DF3E09"/>
    <w:rsid w:val="00E60376"/>
    <w:rsid w:val="00EA1FCC"/>
    <w:rsid w:val="00EC3675"/>
    <w:rsid w:val="00EE333B"/>
    <w:rsid w:val="00EE5B67"/>
    <w:rsid w:val="00F01F0F"/>
    <w:rsid w:val="00F2363B"/>
    <w:rsid w:val="00F33210"/>
    <w:rsid w:val="00F65FE0"/>
    <w:rsid w:val="00F71AD0"/>
    <w:rsid w:val="00FA7F49"/>
    <w:rsid w:val="00FC16BB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A30A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0A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A30A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30AD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A30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F2"/>
    <w:pPr>
      <w:bidi/>
      <w:ind w:left="720"/>
      <w:contextualSpacing/>
    </w:pPr>
    <w:rPr>
      <w:rFonts w:ascii="Calibri" w:eastAsia="Calibri" w:hAnsi="Calibri" w:cs="Arial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D"/>
  </w:style>
  <w:style w:type="paragraph" w:styleId="Footer">
    <w:name w:val="footer"/>
    <w:basedOn w:val="Normal"/>
    <w:link w:val="Foot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D"/>
  </w:style>
  <w:style w:type="table" w:customStyle="1" w:styleId="TableGrid2">
    <w:name w:val="Table Grid2"/>
    <w:basedOn w:val="TableNormal"/>
    <w:next w:val="TableGrid"/>
    <w:uiPriority w:val="59"/>
    <w:rsid w:val="005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A30A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0A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A30AD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30AD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A30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F2"/>
    <w:pPr>
      <w:bidi/>
      <w:ind w:left="720"/>
      <w:contextualSpacing/>
    </w:pPr>
    <w:rPr>
      <w:rFonts w:ascii="Calibri" w:eastAsia="Calibri" w:hAnsi="Calibri" w:cs="Arial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D"/>
  </w:style>
  <w:style w:type="paragraph" w:styleId="Footer">
    <w:name w:val="footer"/>
    <w:basedOn w:val="Normal"/>
    <w:link w:val="FooterChar"/>
    <w:uiPriority w:val="99"/>
    <w:unhideWhenUsed/>
    <w:rsid w:val="002F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D"/>
  </w:style>
  <w:style w:type="table" w:customStyle="1" w:styleId="TableGrid2">
    <w:name w:val="Table Grid2"/>
    <w:basedOn w:val="TableNormal"/>
    <w:next w:val="TableGrid"/>
    <w:uiPriority w:val="59"/>
    <w:rsid w:val="005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4110-B60F-4A80-A00F-5B47045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164</cp:revision>
  <dcterms:created xsi:type="dcterms:W3CDTF">2015-06-03T15:06:00Z</dcterms:created>
  <dcterms:modified xsi:type="dcterms:W3CDTF">2017-10-17T17:19:00Z</dcterms:modified>
</cp:coreProperties>
</file>