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t>Corrected Figures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09030" cy="3610610"/>
            <wp:effectExtent l="0" t="0" r="1270" b="889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l="1610" t="10753" b="5040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053455" cy="3812540"/>
            <wp:effectExtent l="0" t="0" r="4445" b="1651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5"/>
                    <a:srcRect l="4027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after="120"/>
        <w:ind w:firstLine="240" w:firstLineChars="100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recovery of immobilized laccase and free laccase in different conditions</w:t>
      </w:r>
    </w:p>
    <w:p>
      <w:pPr>
        <w:numPr>
          <w:ilvl w:val="0"/>
          <w:numId w:val="1"/>
        </w:numPr>
        <w:shd w:val="clear" w:fill="FFFFFF" w:themeFill="background1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above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different pH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,2)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below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different temperature)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28030" cy="3826510"/>
            <wp:effectExtent l="0" t="0" r="1270" b="254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6"/>
                    <a:srcRect l="7647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66130" cy="3812540"/>
            <wp:effectExtent l="0" t="0" r="1270" b="165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l="7044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 influence of pH to immobilized laccase degradation of Pyr and Bap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7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different letters indicated significant differences in the degradation rate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&lt;0.05)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3730" cy="3618230"/>
            <wp:effectExtent l="0" t="0" r="1270" b="12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7849" t="9692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16930" cy="3826510"/>
            <wp:effectExtent l="0" t="0" r="7620" b="254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6239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influence of temperature to immobilized laccase degradation of Pyr and Bap</w:t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The different letters indicated significant differences in the degradation rate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&lt;0.05)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00" w:usb3="00000000" w:csb0="00040000" w:csb1="00000000"/>
  </w:font>
  <w:font w:name="B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ungsuh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4+CAJSymbolA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cmillan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0"/>
    <w:family w:val="auto"/>
    <w:pitch w:val="default"/>
    <w:sig w:usb0="E00002FF" w:usb1="4000ACFF" w:usb2="00000001" w:usb3="00000000" w:csb0="2000019F" w:csb1="00000000"/>
  </w:font>
  <w:font w:name="Phosphate Inline">
    <w:altName w:val="PMingLiU-ExtB"/>
    <w:panose1 w:val="02000506050000020004"/>
    <w:charset w:val="00"/>
    <w:family w:val="auto"/>
    <w:pitch w:val="default"/>
    <w:sig w:usb0="00000000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B78E"/>
    <w:multiLevelType w:val="singleLevel"/>
    <w:tmpl w:val="59D4B78E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5A4DEB00"/>
    <w:multiLevelType w:val="singleLevel"/>
    <w:tmpl w:val="5A4DEB0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597D"/>
    <w:rsid w:val="61C3597D"/>
    <w:rsid w:val="77706963"/>
    <w:rsid w:val="7B146134"/>
    <w:rsid w:val="7D974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2018-01-05T10:59:00Z</dcterms:created>
  <dc:creator>茫殇</dc:creator>
  <cp:lastModifiedBy>茫殇</cp:lastModifiedBy>
  <dcterms:modified xsi:type="dcterms:W3CDTF">2018-01-15T09:50:14Z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