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13" w:rsidRDefault="005A6513" w:rsidP="005A65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6513">
        <w:rPr>
          <w:rFonts w:ascii="Times New Roman" w:hAnsi="Times New Roman"/>
          <w:sz w:val="24"/>
          <w:szCs w:val="24"/>
        </w:rPr>
        <w:t>SUPPLEMENTARY MATERIAL TO</w:t>
      </w:r>
    </w:p>
    <w:p w:rsidR="005A6513" w:rsidRPr="005A6513" w:rsidRDefault="005A6513" w:rsidP="005A651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5A6513">
        <w:rPr>
          <w:rFonts w:ascii="Times New Roman" w:hAnsi="Times New Roman"/>
          <w:b/>
          <w:sz w:val="28"/>
          <w:szCs w:val="24"/>
        </w:rPr>
        <w:t>Visible light absorption of surface-modified TiO</w:t>
      </w:r>
      <w:r w:rsidRPr="005A6513">
        <w:rPr>
          <w:rFonts w:ascii="Times New Roman" w:hAnsi="Times New Roman"/>
          <w:b/>
          <w:sz w:val="28"/>
          <w:szCs w:val="24"/>
          <w:vertAlign w:val="subscript"/>
        </w:rPr>
        <w:t>2</w:t>
      </w:r>
      <w:r w:rsidRPr="005A6513">
        <w:rPr>
          <w:rFonts w:ascii="Times New Roman" w:hAnsi="Times New Roman"/>
          <w:b/>
          <w:sz w:val="28"/>
          <w:szCs w:val="24"/>
        </w:rPr>
        <w:t xml:space="preserve"> nanoparticles with vitamin B</w:t>
      </w:r>
      <w:r w:rsidRPr="005A6513">
        <w:rPr>
          <w:rFonts w:ascii="Times New Roman" w:hAnsi="Times New Roman"/>
          <w:b/>
          <w:sz w:val="28"/>
          <w:szCs w:val="24"/>
          <w:vertAlign w:val="subscript"/>
        </w:rPr>
        <w:t>6</w:t>
      </w:r>
      <w:r w:rsidRPr="005A6513">
        <w:rPr>
          <w:rFonts w:ascii="Times New Roman" w:hAnsi="Times New Roman"/>
          <w:b/>
          <w:sz w:val="28"/>
          <w:szCs w:val="24"/>
        </w:rPr>
        <w:t>: a comparative experimental and DFT study</w:t>
      </w:r>
    </w:p>
    <w:p w:rsidR="005A6513" w:rsidRPr="008274CA" w:rsidRDefault="005A6513" w:rsidP="005A651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274C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IJANA</w:t>
      </w:r>
      <w:r w:rsidRPr="008274CA">
        <w:rPr>
          <w:rFonts w:ascii="Times New Roman" w:hAnsi="Times New Roman"/>
          <w:sz w:val="24"/>
          <w:szCs w:val="24"/>
        </w:rPr>
        <w:t xml:space="preserve"> S. K</w:t>
      </w:r>
      <w:r>
        <w:rPr>
          <w:rFonts w:ascii="Times New Roman" w:hAnsi="Times New Roman"/>
          <w:sz w:val="24"/>
          <w:szCs w:val="24"/>
        </w:rPr>
        <w:t>OVAČ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8274CA">
        <w:rPr>
          <w:rFonts w:ascii="Times New Roman" w:hAnsi="Times New Roman"/>
          <w:sz w:val="24"/>
          <w:szCs w:val="24"/>
        </w:rPr>
        <w:t>, E</w:t>
      </w:r>
      <w:r>
        <w:rPr>
          <w:rFonts w:ascii="Times New Roman" w:hAnsi="Times New Roman"/>
          <w:sz w:val="24"/>
          <w:szCs w:val="24"/>
        </w:rPr>
        <w:t>NIS</w:t>
      </w:r>
      <w:r w:rsidRPr="008274CA">
        <w:rPr>
          <w:rFonts w:ascii="Times New Roman" w:hAnsi="Times New Roman"/>
          <w:sz w:val="24"/>
          <w:szCs w:val="24"/>
        </w:rPr>
        <w:t xml:space="preserve"> S. D</w:t>
      </w:r>
      <w:r>
        <w:rPr>
          <w:rFonts w:ascii="Times New Roman" w:hAnsi="Times New Roman"/>
          <w:sz w:val="24"/>
          <w:szCs w:val="24"/>
        </w:rPr>
        <w:t>ŽUNUZOVIĆ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274CA">
        <w:rPr>
          <w:rFonts w:ascii="Times New Roman" w:hAnsi="Times New Roman"/>
          <w:sz w:val="24"/>
          <w:szCs w:val="24"/>
        </w:rPr>
        <w:t>, J</w:t>
      </w:r>
      <w:r>
        <w:rPr>
          <w:rFonts w:ascii="Times New Roman" w:hAnsi="Times New Roman"/>
          <w:sz w:val="24"/>
          <w:szCs w:val="24"/>
        </w:rPr>
        <w:t>ASNA</w:t>
      </w:r>
      <w:r w:rsidRPr="008274CA">
        <w:rPr>
          <w:rFonts w:ascii="Times New Roman" w:hAnsi="Times New Roman"/>
          <w:sz w:val="24"/>
          <w:szCs w:val="24"/>
        </w:rPr>
        <w:t xml:space="preserve"> V. D</w:t>
      </w:r>
      <w:r>
        <w:rPr>
          <w:rFonts w:ascii="Times New Roman" w:hAnsi="Times New Roman"/>
          <w:sz w:val="24"/>
          <w:szCs w:val="24"/>
        </w:rPr>
        <w:t>ŽUNUZOVIĆ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8274CA"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z w:val="24"/>
          <w:szCs w:val="24"/>
        </w:rPr>
        <w:t>OJANA</w:t>
      </w:r>
      <w:r w:rsidRPr="008274C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ILIĆEVIĆ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8274CA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UŠAN</w:t>
      </w:r>
      <w:r w:rsidRPr="008274CA">
        <w:rPr>
          <w:rFonts w:ascii="Times New Roman" w:hAnsi="Times New Roman"/>
          <w:sz w:val="24"/>
          <w:szCs w:val="24"/>
        </w:rPr>
        <w:t xml:space="preserve"> N. S</w:t>
      </w:r>
      <w:r>
        <w:rPr>
          <w:rFonts w:ascii="Times New Roman" w:hAnsi="Times New Roman"/>
          <w:sz w:val="24"/>
          <w:szCs w:val="24"/>
        </w:rPr>
        <w:t>REDOJEVIĆ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8274CA">
        <w:rPr>
          <w:rFonts w:ascii="Times New Roman" w:hAnsi="Times New Roman"/>
          <w:sz w:val="24"/>
          <w:szCs w:val="24"/>
        </w:rPr>
        <w:t>, E</w:t>
      </w:r>
      <w:r>
        <w:rPr>
          <w:rFonts w:ascii="Times New Roman" w:hAnsi="Times New Roman"/>
          <w:sz w:val="24"/>
          <w:szCs w:val="24"/>
        </w:rPr>
        <w:t>DWARD</w:t>
      </w:r>
      <w:r w:rsidRPr="008274CA">
        <w:rPr>
          <w:rFonts w:ascii="Times New Roman" w:hAnsi="Times New Roman"/>
          <w:sz w:val="24"/>
          <w:szCs w:val="24"/>
        </w:rPr>
        <w:t xml:space="preserve"> N. B</w:t>
      </w:r>
      <w:r>
        <w:rPr>
          <w:rFonts w:ascii="Times New Roman" w:hAnsi="Times New Roman"/>
          <w:sz w:val="24"/>
          <w:szCs w:val="24"/>
        </w:rPr>
        <w:t>ROTHERS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8274CA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OVAN</w:t>
      </w:r>
      <w:r w:rsidRPr="008274CA">
        <w:rPr>
          <w:rFonts w:ascii="Times New Roman" w:hAnsi="Times New Roman"/>
          <w:sz w:val="24"/>
          <w:szCs w:val="24"/>
        </w:rPr>
        <w:t xml:space="preserve"> M. N</w:t>
      </w:r>
      <w:r>
        <w:rPr>
          <w:rFonts w:ascii="Times New Roman" w:hAnsi="Times New Roman"/>
          <w:sz w:val="24"/>
          <w:szCs w:val="24"/>
        </w:rPr>
        <w:t>EDELJKOVIĆ</w:t>
      </w:r>
      <w:r>
        <w:rPr>
          <w:rFonts w:ascii="Times New Roman" w:hAnsi="Times New Roman"/>
          <w:sz w:val="24"/>
          <w:szCs w:val="24"/>
          <w:vertAlign w:val="superscript"/>
        </w:rPr>
        <w:t>4,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5A6513" w:rsidRPr="00244B6C" w:rsidRDefault="005A6513" w:rsidP="005A65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6513" w:rsidRPr="005A6513" w:rsidRDefault="005A6513" w:rsidP="005A65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244B6C">
        <w:rPr>
          <w:rFonts w:ascii="Times New Roman" w:hAnsi="Times New Roman"/>
          <w:i/>
          <w:sz w:val="24"/>
          <w:szCs w:val="24"/>
        </w:rPr>
        <w:t xml:space="preserve">Innovation Center, Faculty of Technology and Metallurgy, University of Belgrade, </w:t>
      </w:r>
      <w:proofErr w:type="spellStart"/>
      <w:r w:rsidRPr="00244B6C">
        <w:rPr>
          <w:rFonts w:ascii="Times New Roman" w:hAnsi="Times New Roman"/>
          <w:i/>
          <w:sz w:val="24"/>
          <w:szCs w:val="24"/>
        </w:rPr>
        <w:t>Karnegijeva</w:t>
      </w:r>
      <w:proofErr w:type="spellEnd"/>
      <w:r>
        <w:rPr>
          <w:rFonts w:ascii="Times New Roman" w:hAnsi="Times New Roman"/>
          <w:i/>
          <w:sz w:val="24"/>
          <w:szCs w:val="24"/>
        </w:rPr>
        <w:t> </w:t>
      </w:r>
      <w:r w:rsidRPr="00244B6C">
        <w:rPr>
          <w:rFonts w:ascii="Times New Roman" w:hAnsi="Times New Roman"/>
          <w:i/>
          <w:sz w:val="24"/>
          <w:szCs w:val="24"/>
        </w:rPr>
        <w:t>4, Belgrade 11120, Serbia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244B6C">
        <w:rPr>
          <w:rFonts w:ascii="Times New Roman" w:hAnsi="Times New Roman"/>
          <w:i/>
          <w:sz w:val="24"/>
          <w:szCs w:val="24"/>
        </w:rPr>
        <w:t xml:space="preserve">Faculty of Technology and Metallurgy, University of Belgrade, </w:t>
      </w:r>
      <w:proofErr w:type="spellStart"/>
      <w:r w:rsidRPr="00244B6C">
        <w:rPr>
          <w:rFonts w:ascii="Times New Roman" w:hAnsi="Times New Roman"/>
          <w:i/>
          <w:sz w:val="24"/>
          <w:szCs w:val="24"/>
        </w:rPr>
        <w:t>Karnegijeva</w:t>
      </w:r>
      <w:proofErr w:type="spellEnd"/>
      <w:r w:rsidRPr="00244B6C">
        <w:rPr>
          <w:rFonts w:ascii="Times New Roman" w:hAnsi="Times New Roman"/>
          <w:i/>
          <w:sz w:val="24"/>
          <w:szCs w:val="24"/>
        </w:rPr>
        <w:t xml:space="preserve"> 4, 11120 Belgrade, Serbia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AdvP4DF60E" w:hAnsi="Times New Roman"/>
          <w:sz w:val="24"/>
          <w:szCs w:val="24"/>
          <w:vertAlign w:val="superscript"/>
        </w:rPr>
        <w:t>3</w:t>
      </w:r>
      <w:r w:rsidRPr="00244B6C">
        <w:rPr>
          <w:rFonts w:ascii="Times New Roman" w:eastAsia="AdvP4DF60F" w:hAnsi="Times New Roman"/>
          <w:i/>
          <w:sz w:val="24"/>
          <w:szCs w:val="24"/>
        </w:rPr>
        <w:t xml:space="preserve">Institute of Chemistry, Technology and Metallurgy (ICTM)-Center of Chemistry, University of Belgrade, </w:t>
      </w:r>
      <w:proofErr w:type="spellStart"/>
      <w:r w:rsidRPr="00244B6C">
        <w:rPr>
          <w:rFonts w:ascii="Times New Roman" w:eastAsia="AdvP4DF60F" w:hAnsi="Times New Roman"/>
          <w:i/>
          <w:sz w:val="24"/>
          <w:szCs w:val="24"/>
        </w:rPr>
        <w:t>Studentski</w:t>
      </w:r>
      <w:proofErr w:type="spellEnd"/>
      <w:r w:rsidRPr="00244B6C">
        <w:rPr>
          <w:rFonts w:ascii="Times New Roman" w:eastAsia="AdvP4DF60F" w:hAnsi="Times New Roman"/>
          <w:i/>
          <w:sz w:val="24"/>
          <w:szCs w:val="24"/>
        </w:rPr>
        <w:t xml:space="preserve"> </w:t>
      </w:r>
      <w:proofErr w:type="spellStart"/>
      <w:r w:rsidRPr="00244B6C">
        <w:rPr>
          <w:rFonts w:ascii="Times New Roman" w:eastAsia="AdvP4DF60F" w:hAnsi="Times New Roman"/>
          <w:i/>
          <w:sz w:val="24"/>
          <w:szCs w:val="24"/>
        </w:rPr>
        <w:t>trg</w:t>
      </w:r>
      <w:proofErr w:type="spellEnd"/>
      <w:r w:rsidRPr="00244B6C">
        <w:rPr>
          <w:rFonts w:ascii="Times New Roman" w:eastAsia="AdvP4DF60F" w:hAnsi="Times New Roman"/>
          <w:i/>
          <w:sz w:val="24"/>
          <w:szCs w:val="24"/>
        </w:rPr>
        <w:t xml:space="preserve"> 12-16, 11000 Belgrade, Serbia</w:t>
      </w:r>
      <w:r>
        <w:rPr>
          <w:rFonts w:ascii="Times New Roman" w:eastAsia="AdvP4DF60F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244B6C">
        <w:rPr>
          <w:rFonts w:ascii="Times New Roman" w:hAnsi="Times New Roman"/>
          <w:i/>
          <w:sz w:val="24"/>
          <w:szCs w:val="24"/>
        </w:rPr>
        <w:t xml:space="preserve">Institute of Nuclear Sciences </w:t>
      </w:r>
      <w:proofErr w:type="spellStart"/>
      <w:r w:rsidRPr="00244B6C">
        <w:rPr>
          <w:rFonts w:ascii="Times New Roman" w:hAnsi="Times New Roman"/>
          <w:i/>
          <w:sz w:val="24"/>
          <w:szCs w:val="24"/>
        </w:rPr>
        <w:t>Vinča</w:t>
      </w:r>
      <w:proofErr w:type="spellEnd"/>
      <w:r w:rsidRPr="00244B6C">
        <w:rPr>
          <w:rFonts w:ascii="Times New Roman" w:hAnsi="Times New Roman"/>
          <w:i/>
          <w:sz w:val="24"/>
          <w:szCs w:val="24"/>
        </w:rPr>
        <w:t>, University of Belgrade, P.O. Box 522, 11000 Belgrade, Serbia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244B6C">
        <w:rPr>
          <w:rFonts w:ascii="Times New Roman" w:hAnsi="Times New Roman"/>
          <w:i/>
          <w:sz w:val="24"/>
          <w:szCs w:val="24"/>
        </w:rPr>
        <w:t>Texas A&amp;M University at Qatar, P.O. Box 23874, Doha, Qatar</w:t>
      </w:r>
    </w:p>
    <w:p w:rsidR="005A6513" w:rsidRDefault="005A6513" w:rsidP="008C5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634" w:rsidRDefault="00C24634" w:rsidP="008C5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634" w:rsidRDefault="00C24634" w:rsidP="008C5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521C" w:rsidRDefault="005A6513" w:rsidP="008C52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S-</w:t>
      </w:r>
      <w:r w:rsidR="00C2463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8C521C" w:rsidRPr="00244B6C">
        <w:rPr>
          <w:rFonts w:ascii="Times New Roman" w:hAnsi="Times New Roman"/>
          <w:sz w:val="24"/>
          <w:szCs w:val="24"/>
        </w:rPr>
        <w:t xml:space="preserve"> Wavelengths, oscillator strengths, and wave-functions of electronic excitations calculated for B</w:t>
      </w:r>
      <w:r w:rsidR="008C521C" w:rsidRPr="00244B6C">
        <w:rPr>
          <w:rFonts w:ascii="Times New Roman" w:hAnsi="Times New Roman"/>
          <w:sz w:val="24"/>
          <w:szCs w:val="24"/>
          <w:vertAlign w:val="subscript"/>
        </w:rPr>
        <w:t>6</w:t>
      </w:r>
      <w:proofErr w:type="gramStart"/>
      <w:r w:rsidR="008C521C" w:rsidRPr="00244B6C">
        <w:rPr>
          <w:rFonts w:ascii="Times New Roman" w:hAnsi="Times New Roman"/>
          <w:sz w:val="24"/>
          <w:szCs w:val="24"/>
        </w:rPr>
        <w:t>/[</w:t>
      </w:r>
      <w:proofErr w:type="gramEnd"/>
      <w:r w:rsidR="008C521C" w:rsidRPr="00244B6C">
        <w:rPr>
          <w:rFonts w:ascii="Times New Roman" w:hAnsi="Times New Roman"/>
          <w:sz w:val="24"/>
          <w:szCs w:val="24"/>
        </w:rPr>
        <w:t>Ti</w:t>
      </w:r>
      <w:r w:rsidR="008C521C" w:rsidRPr="00DB2659">
        <w:rPr>
          <w:rFonts w:ascii="Times New Roman" w:hAnsi="Times New Roman"/>
          <w:sz w:val="24"/>
          <w:szCs w:val="24"/>
          <w:vertAlign w:val="subscript"/>
        </w:rPr>
        <w:t>8</w:t>
      </w:r>
      <w:r w:rsidR="008C521C" w:rsidRPr="00244B6C">
        <w:rPr>
          <w:rFonts w:ascii="Times New Roman" w:hAnsi="Times New Roman"/>
          <w:sz w:val="24"/>
          <w:szCs w:val="24"/>
        </w:rPr>
        <w:t>O</w:t>
      </w:r>
      <w:r w:rsidR="008C521C">
        <w:rPr>
          <w:rFonts w:ascii="Times New Roman" w:hAnsi="Times New Roman"/>
          <w:sz w:val="24"/>
          <w:szCs w:val="24"/>
          <w:vertAlign w:val="subscript"/>
        </w:rPr>
        <w:t>14</w:t>
      </w:r>
      <w:r w:rsidR="008C521C" w:rsidRPr="00244B6C">
        <w:rPr>
          <w:rFonts w:ascii="Times New Roman" w:hAnsi="Times New Roman"/>
          <w:sz w:val="24"/>
          <w:szCs w:val="24"/>
        </w:rPr>
        <w:t>(OH)</w:t>
      </w:r>
      <w:r w:rsidR="008C521C">
        <w:rPr>
          <w:rFonts w:ascii="Times New Roman" w:hAnsi="Times New Roman"/>
          <w:sz w:val="24"/>
          <w:szCs w:val="24"/>
          <w:vertAlign w:val="subscript"/>
        </w:rPr>
        <w:t>3</w:t>
      </w:r>
      <w:r w:rsidR="008C521C" w:rsidRPr="00244B6C">
        <w:rPr>
          <w:rFonts w:ascii="Times New Roman" w:hAnsi="Times New Roman"/>
          <w:sz w:val="24"/>
          <w:szCs w:val="24"/>
        </w:rPr>
        <w:t>]</w:t>
      </w:r>
      <w:r w:rsidR="008C521C" w:rsidRPr="00244B6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C521C" w:rsidRPr="00244B6C">
        <w:rPr>
          <w:rFonts w:ascii="Times New Roman" w:hAnsi="Times New Roman"/>
          <w:sz w:val="24"/>
          <w:szCs w:val="24"/>
        </w:rPr>
        <w:t>clusters.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2213"/>
        <w:gridCol w:w="2375"/>
        <w:gridCol w:w="3185"/>
      </w:tblGrid>
      <w:tr w:rsidR="008C521C" w:rsidRPr="00563379" w:rsidTr="003F33BD">
        <w:tc>
          <w:tcPr>
            <w:tcW w:w="961" w:type="pct"/>
            <w:shd w:val="clear" w:color="auto" w:fill="auto"/>
          </w:tcPr>
          <w:p w:rsidR="008C521C" w:rsidRPr="00563379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auto"/>
          </w:tcPr>
          <w:p w:rsidR="008C521C" w:rsidRPr="00563379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379">
              <w:rPr>
                <w:rFonts w:ascii="Times New Roman" w:hAnsi="Times New Roman"/>
                <w:sz w:val="24"/>
                <w:szCs w:val="24"/>
              </w:rPr>
              <w:t>Wavelength (nm)</w:t>
            </w:r>
          </w:p>
        </w:tc>
        <w:tc>
          <w:tcPr>
            <w:tcW w:w="1234" w:type="pct"/>
            <w:shd w:val="clear" w:color="auto" w:fill="auto"/>
          </w:tcPr>
          <w:p w:rsidR="008C521C" w:rsidRPr="00563379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379">
              <w:rPr>
                <w:rFonts w:ascii="Times New Roman" w:hAnsi="Times New Roman"/>
                <w:sz w:val="24"/>
                <w:szCs w:val="24"/>
              </w:rPr>
              <w:t>Oscillator strength</w:t>
            </w:r>
          </w:p>
        </w:tc>
        <w:tc>
          <w:tcPr>
            <w:tcW w:w="1655" w:type="pct"/>
            <w:shd w:val="clear" w:color="auto" w:fill="auto"/>
          </w:tcPr>
          <w:p w:rsidR="008C521C" w:rsidRPr="00563379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379">
              <w:rPr>
                <w:rFonts w:ascii="Times New Roman" w:hAnsi="Times New Roman"/>
                <w:sz w:val="24"/>
                <w:szCs w:val="24"/>
              </w:rPr>
              <w:t>Wavefunction</w:t>
            </w:r>
            <w:proofErr w:type="spellEnd"/>
          </w:p>
          <w:p w:rsidR="008C521C" w:rsidRPr="00563379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379">
              <w:rPr>
                <w:rFonts w:ascii="Times New Roman" w:hAnsi="Times New Roman"/>
                <w:sz w:val="24"/>
                <w:szCs w:val="24"/>
              </w:rPr>
              <w:t>(|coefficient|</w:t>
            </w:r>
            <w:r w:rsidRPr="0056337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63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379">
              <w:rPr>
                <w:rFonts w:ascii="Cambria Math" w:eastAsia="TT3C4EF452tCID-WinCharSetFFFF-H" w:hAnsi="Cambria Math" w:cs="Cambria Math"/>
                <w:sz w:val="24"/>
                <w:szCs w:val="24"/>
              </w:rPr>
              <w:t>≧</w:t>
            </w:r>
            <w:r w:rsidRPr="00563379">
              <w:rPr>
                <w:rFonts w:ascii="Times New Roman" w:eastAsia="TT3C4EF452tCID-WinCharSetFFFF-H" w:hAnsi="Times New Roman"/>
                <w:sz w:val="24"/>
                <w:szCs w:val="24"/>
              </w:rPr>
              <w:t xml:space="preserve"> </w:t>
            </w:r>
            <w:r w:rsidRPr="00563379">
              <w:rPr>
                <w:rFonts w:ascii="Times New Roman" w:hAnsi="Times New Roman"/>
                <w:sz w:val="24"/>
                <w:szCs w:val="24"/>
              </w:rPr>
              <w:t>10%)</w:t>
            </w:r>
          </w:p>
        </w:tc>
      </w:tr>
      <w:tr w:rsidR="008C521C" w:rsidRPr="00244B6C" w:rsidTr="003F33BD">
        <w:tc>
          <w:tcPr>
            <w:tcW w:w="961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>Excited State 1</w:t>
            </w:r>
          </w:p>
        </w:tc>
        <w:tc>
          <w:tcPr>
            <w:tcW w:w="1150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234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>0.0002</w:t>
            </w:r>
          </w:p>
        </w:tc>
        <w:tc>
          <w:tcPr>
            <w:tcW w:w="1655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 xml:space="preserve">HOMO </w:t>
            </w:r>
            <w:r w:rsidRPr="00244B6C"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 w:rsidRPr="00244B6C">
              <w:rPr>
                <w:rFonts w:ascii="Times New Roman" w:hAnsi="Times New Roman"/>
                <w:sz w:val="24"/>
                <w:szCs w:val="24"/>
              </w:rPr>
              <w:t xml:space="preserve"> LUMO (70%)</w:t>
            </w:r>
          </w:p>
        </w:tc>
      </w:tr>
      <w:tr w:rsidR="008C521C" w:rsidRPr="00244B6C" w:rsidTr="003F33BD">
        <w:tc>
          <w:tcPr>
            <w:tcW w:w="961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>Excited State 2</w:t>
            </w:r>
          </w:p>
        </w:tc>
        <w:tc>
          <w:tcPr>
            <w:tcW w:w="1150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234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>0.0003</w:t>
            </w:r>
          </w:p>
        </w:tc>
        <w:tc>
          <w:tcPr>
            <w:tcW w:w="1655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 xml:space="preserve">HOMO-2 </w:t>
            </w:r>
            <w:r w:rsidRPr="00244B6C"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 w:rsidRPr="00244B6C">
              <w:rPr>
                <w:rFonts w:ascii="Times New Roman" w:hAnsi="Times New Roman"/>
                <w:sz w:val="24"/>
                <w:szCs w:val="24"/>
              </w:rPr>
              <w:t xml:space="preserve"> LUMO (26%)</w:t>
            </w:r>
          </w:p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 xml:space="preserve">HOMO-1 </w:t>
            </w:r>
            <w:r w:rsidRPr="00244B6C"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 w:rsidRPr="00244B6C">
              <w:rPr>
                <w:rFonts w:ascii="Times New Roman" w:hAnsi="Times New Roman"/>
                <w:sz w:val="24"/>
                <w:szCs w:val="24"/>
              </w:rPr>
              <w:t xml:space="preserve"> LUMO (10%)</w:t>
            </w:r>
          </w:p>
        </w:tc>
      </w:tr>
      <w:tr w:rsidR="008C521C" w:rsidRPr="00244B6C" w:rsidTr="003F33BD">
        <w:tc>
          <w:tcPr>
            <w:tcW w:w="961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>Excited State 3</w:t>
            </w:r>
          </w:p>
        </w:tc>
        <w:tc>
          <w:tcPr>
            <w:tcW w:w="1150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34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>0.0007</w:t>
            </w:r>
          </w:p>
        </w:tc>
        <w:tc>
          <w:tcPr>
            <w:tcW w:w="1655" w:type="pct"/>
            <w:shd w:val="clear" w:color="auto" w:fill="auto"/>
          </w:tcPr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 xml:space="preserve">HOMO-6 </w:t>
            </w:r>
            <w:r w:rsidRPr="00244B6C"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 w:rsidRPr="00244B6C">
              <w:rPr>
                <w:rFonts w:ascii="Times New Roman" w:hAnsi="Times New Roman"/>
                <w:sz w:val="24"/>
                <w:szCs w:val="24"/>
              </w:rPr>
              <w:t xml:space="preserve"> LUMO (20%)</w:t>
            </w:r>
          </w:p>
          <w:p w:rsidR="008C521C" w:rsidRPr="00244B6C" w:rsidRDefault="008C521C" w:rsidP="003F3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6C">
              <w:rPr>
                <w:rFonts w:ascii="Times New Roman" w:hAnsi="Times New Roman"/>
                <w:sz w:val="24"/>
                <w:szCs w:val="24"/>
              </w:rPr>
              <w:t xml:space="preserve">HOMO-5 </w:t>
            </w:r>
            <w:r w:rsidRPr="00244B6C">
              <w:rPr>
                <w:rFonts w:ascii="Times New Roman" w:hAnsi="Times New Roman"/>
                <w:sz w:val="24"/>
                <w:szCs w:val="24"/>
              </w:rPr>
              <w:sym w:font="Symbol" w:char="F0AE"/>
            </w:r>
            <w:r w:rsidRPr="00244B6C">
              <w:rPr>
                <w:rFonts w:ascii="Times New Roman" w:hAnsi="Times New Roman"/>
                <w:sz w:val="24"/>
                <w:szCs w:val="24"/>
              </w:rPr>
              <w:t xml:space="preserve"> LUMO (18%)</w:t>
            </w:r>
          </w:p>
        </w:tc>
      </w:tr>
    </w:tbl>
    <w:p w:rsidR="008C521C" w:rsidRPr="00244B6C" w:rsidRDefault="008C521C" w:rsidP="008C52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C521C" w:rsidRDefault="008C521C" w:rsidP="008C521C">
      <w:pPr>
        <w:jc w:val="both"/>
      </w:pPr>
    </w:p>
    <w:p w:rsidR="008C521C" w:rsidRDefault="008C521C" w:rsidP="008C521C">
      <w:pPr>
        <w:jc w:val="both"/>
      </w:pPr>
    </w:p>
    <w:p w:rsidR="008C521C" w:rsidRDefault="008C521C" w:rsidP="008C521C">
      <w:pPr>
        <w:jc w:val="both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C521C" w:rsidRDefault="00146422" w:rsidP="008C521C">
      <w:pPr>
        <w:jc w:val="center"/>
        <w:rPr>
          <w:rFonts w:ascii="Times New Roman" w:hAnsi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4319016" cy="3410712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-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41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21C" w:rsidRDefault="005A6513" w:rsidP="005A6513">
      <w:pPr>
        <w:autoSpaceDE w:val="0"/>
        <w:autoSpaceDN w:val="0"/>
        <w:adjustRightInd w:val="0"/>
        <w:spacing w:after="0" w:line="360" w:lineRule="auto"/>
        <w:ind w:left="567"/>
        <w:jc w:val="center"/>
      </w:pPr>
      <w:r>
        <w:rPr>
          <w:rFonts w:ascii="Times New Roman" w:hAnsi="Times New Roman"/>
          <w:sz w:val="24"/>
          <w:szCs w:val="24"/>
        </w:rPr>
        <w:t xml:space="preserve">Fig. </w:t>
      </w:r>
      <w:proofErr w:type="gramStart"/>
      <w:r>
        <w:rPr>
          <w:rFonts w:ascii="Times New Roman" w:hAnsi="Times New Roman"/>
          <w:sz w:val="24"/>
          <w:szCs w:val="24"/>
        </w:rPr>
        <w:t>S-1.</w:t>
      </w:r>
      <w:proofErr w:type="gramEnd"/>
      <w:r w:rsidRPr="00244B6C">
        <w:rPr>
          <w:rFonts w:ascii="Times New Roman" w:hAnsi="Times New Roman"/>
          <w:b/>
          <w:sz w:val="24"/>
          <w:szCs w:val="24"/>
        </w:rPr>
        <w:t xml:space="preserve"> </w:t>
      </w:r>
      <w:r w:rsidRPr="00244B6C">
        <w:rPr>
          <w:rFonts w:ascii="Times New Roman" w:hAnsi="Times New Roman"/>
          <w:sz w:val="24"/>
          <w:szCs w:val="24"/>
        </w:rPr>
        <w:t>Spatial distributions of highest occupied molecular orbitals (HOMO) and lowest unoccupied molecular orbitals (LUMO) for B</w:t>
      </w:r>
      <w:r w:rsidRPr="00244B6C">
        <w:rPr>
          <w:rFonts w:ascii="Times New Roman" w:hAnsi="Times New Roman"/>
          <w:sz w:val="24"/>
          <w:szCs w:val="24"/>
          <w:vertAlign w:val="subscript"/>
        </w:rPr>
        <w:t>6</w:t>
      </w:r>
      <w:proofErr w:type="gramStart"/>
      <w:r w:rsidRPr="00244B6C">
        <w:rPr>
          <w:rFonts w:ascii="Times New Roman" w:hAnsi="Times New Roman"/>
          <w:sz w:val="24"/>
          <w:szCs w:val="24"/>
        </w:rPr>
        <w:t>/[</w:t>
      </w:r>
      <w:proofErr w:type="gramEnd"/>
      <w:r w:rsidRPr="00244B6C">
        <w:rPr>
          <w:rFonts w:ascii="Times New Roman" w:hAnsi="Times New Roman"/>
          <w:sz w:val="24"/>
          <w:szCs w:val="24"/>
        </w:rPr>
        <w:t>Ti</w:t>
      </w:r>
      <w:r w:rsidRPr="00DB2659">
        <w:rPr>
          <w:rFonts w:ascii="Times New Roman" w:hAnsi="Times New Roman"/>
          <w:sz w:val="24"/>
          <w:szCs w:val="24"/>
          <w:vertAlign w:val="subscript"/>
        </w:rPr>
        <w:t>8</w:t>
      </w:r>
      <w:r w:rsidRPr="00244B6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14</w:t>
      </w:r>
      <w:r w:rsidRPr="00244B6C">
        <w:rPr>
          <w:rFonts w:ascii="Times New Roman" w:hAnsi="Times New Roman"/>
          <w:sz w:val="24"/>
          <w:szCs w:val="24"/>
        </w:rPr>
        <w:t>(OH)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 w:rsidRPr="00244B6C">
        <w:rPr>
          <w:rFonts w:ascii="Times New Roman" w:hAnsi="Times New Roman"/>
          <w:sz w:val="24"/>
          <w:szCs w:val="24"/>
        </w:rPr>
        <w:t>]</w:t>
      </w:r>
      <w:r w:rsidRPr="00244B6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44B6C">
        <w:rPr>
          <w:rFonts w:ascii="Times New Roman" w:hAnsi="Times New Roman"/>
          <w:sz w:val="24"/>
          <w:szCs w:val="24"/>
        </w:rPr>
        <w:t>clusters.</w:t>
      </w:r>
    </w:p>
    <w:p w:rsidR="003D6E97" w:rsidRDefault="003D6E97"/>
    <w:sectPr w:rsidR="003D6E97" w:rsidSect="005F5A65">
      <w:footerReference w:type="even" r:id="rId8"/>
      <w:footerReference w:type="default" r:id="rId9"/>
      <w:footnotePr>
        <w:numFmt w:val="chicago"/>
      </w:footnotePr>
      <w:pgSz w:w="12240" w:h="15840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C6" w:rsidRDefault="00C631C6" w:rsidP="005A6513">
      <w:pPr>
        <w:spacing w:after="0" w:line="240" w:lineRule="auto"/>
      </w:pPr>
      <w:r>
        <w:separator/>
      </w:r>
    </w:p>
  </w:endnote>
  <w:endnote w:type="continuationSeparator" w:id="0">
    <w:p w:rsidR="00C631C6" w:rsidRDefault="00C631C6" w:rsidP="005A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P4DF60E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P4DF60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T3C4EF452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3A" w:rsidRDefault="00C631C6" w:rsidP="003F7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53A" w:rsidRDefault="00C631C6" w:rsidP="00692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3A" w:rsidRDefault="00C631C6" w:rsidP="003F7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422">
      <w:rPr>
        <w:rStyle w:val="PageNumber"/>
        <w:noProof/>
      </w:rPr>
      <w:t>2</w:t>
    </w:r>
    <w:r>
      <w:rPr>
        <w:rStyle w:val="PageNumber"/>
      </w:rPr>
      <w:fldChar w:fldCharType="end"/>
    </w:r>
  </w:p>
  <w:p w:rsidR="0069253A" w:rsidRDefault="00C631C6" w:rsidP="006925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C6" w:rsidRDefault="00C631C6" w:rsidP="005A6513">
      <w:pPr>
        <w:spacing w:after="0" w:line="240" w:lineRule="auto"/>
      </w:pPr>
      <w:r>
        <w:separator/>
      </w:r>
    </w:p>
  </w:footnote>
  <w:footnote w:type="continuationSeparator" w:id="0">
    <w:p w:rsidR="00C631C6" w:rsidRDefault="00C631C6" w:rsidP="005A6513">
      <w:pPr>
        <w:spacing w:after="0" w:line="240" w:lineRule="auto"/>
      </w:pPr>
      <w:r>
        <w:continuationSeparator/>
      </w:r>
    </w:p>
  </w:footnote>
  <w:footnote w:id="1">
    <w:p w:rsidR="005A6513" w:rsidRPr="00154E1B" w:rsidRDefault="005A6513" w:rsidP="005A651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E42556">
        <w:rPr>
          <w:rFonts w:ascii="Times New Roman" w:hAnsi="Times New Roman"/>
          <w:sz w:val="24"/>
          <w:szCs w:val="24"/>
        </w:rPr>
        <w:t>Corresponding author.</w:t>
      </w:r>
      <w:proofErr w:type="gramEnd"/>
      <w:r w:rsidRPr="00E42556">
        <w:rPr>
          <w:rFonts w:ascii="Times New Roman" w:hAnsi="Times New Roman"/>
          <w:sz w:val="24"/>
          <w:szCs w:val="24"/>
        </w:rPr>
        <w:t xml:space="preserve"> </w:t>
      </w:r>
      <w:r w:rsidRPr="00520817">
        <w:rPr>
          <w:rFonts w:ascii="Times New Roman" w:hAnsi="Times New Roman"/>
          <w:sz w:val="24"/>
          <w:szCs w:val="24"/>
        </w:rPr>
        <w:t>E-mail:</w:t>
      </w:r>
      <w:r w:rsidRPr="00E42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jovned@vin.bg.ac.rs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1C"/>
    <w:rsid w:val="00146422"/>
    <w:rsid w:val="003D6E97"/>
    <w:rsid w:val="00563379"/>
    <w:rsid w:val="005A6513"/>
    <w:rsid w:val="008C521C"/>
    <w:rsid w:val="00C24634"/>
    <w:rsid w:val="00C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1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52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52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8C521C"/>
  </w:style>
  <w:style w:type="paragraph" w:styleId="BalloonText">
    <w:name w:val="Balloon Text"/>
    <w:basedOn w:val="Normal"/>
    <w:link w:val="BalloonTextChar"/>
    <w:uiPriority w:val="99"/>
    <w:semiHidden/>
    <w:unhideWhenUsed/>
    <w:rsid w:val="008C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1C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51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5A6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1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52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52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8C521C"/>
  </w:style>
  <w:style w:type="paragraph" w:styleId="BalloonText">
    <w:name w:val="Balloon Text"/>
    <w:basedOn w:val="Normal"/>
    <w:link w:val="BalloonTextChar"/>
    <w:uiPriority w:val="99"/>
    <w:semiHidden/>
    <w:unhideWhenUsed/>
    <w:rsid w:val="008C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1C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51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5A6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5</cp:revision>
  <dcterms:created xsi:type="dcterms:W3CDTF">2017-12-26T11:42:00Z</dcterms:created>
  <dcterms:modified xsi:type="dcterms:W3CDTF">2017-12-26T12:07:00Z</dcterms:modified>
</cp:coreProperties>
</file>