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7D" w:rsidRPr="00064B60" w:rsidRDefault="00F4317D" w:rsidP="00C673AB">
      <w:pPr>
        <w:spacing w:line="360" w:lineRule="auto"/>
      </w:pPr>
      <w:r w:rsidRPr="00064B60">
        <w:t xml:space="preserve">Dear Editor-in-Chief </w:t>
      </w:r>
    </w:p>
    <w:p w:rsidR="00F4317D" w:rsidRPr="00064B60" w:rsidRDefault="00F4317D" w:rsidP="00C673AB">
      <w:pPr>
        <w:spacing w:line="360" w:lineRule="auto"/>
        <w:rPr>
          <w:lang w:val="sr-Latn-RS"/>
        </w:rPr>
      </w:pPr>
      <w:r w:rsidRPr="00064B60">
        <w:t>Dr. Olgica Nedi</w:t>
      </w:r>
      <w:r w:rsidRPr="00064B60">
        <w:rPr>
          <w:lang w:val="sr-Latn-RS"/>
        </w:rPr>
        <w:t>ć</w:t>
      </w:r>
    </w:p>
    <w:p w:rsidR="00F4317D" w:rsidRPr="00064B60" w:rsidRDefault="00F4317D" w:rsidP="00C673AB">
      <w:pPr>
        <w:spacing w:line="360" w:lineRule="auto"/>
        <w:rPr>
          <w:lang w:val="sr-Latn-RS"/>
        </w:rPr>
      </w:pPr>
    </w:p>
    <w:p w:rsidR="00626A62" w:rsidRPr="00064B60" w:rsidRDefault="00324BC8" w:rsidP="00C673AB">
      <w:pPr>
        <w:spacing w:line="360" w:lineRule="auto"/>
        <w:rPr>
          <w:lang w:val="sr-Latn-RS"/>
        </w:rPr>
      </w:pPr>
      <w:r w:rsidRPr="00064B60">
        <w:t>We are sending Y</w:t>
      </w:r>
      <w:r w:rsidR="00F4317D" w:rsidRPr="00064B60">
        <w:t>ou a corrected manuscript “Fatty acid composition including trans-fatty acids in salty snack foods from Serbian market” written by the authors Jasmina Timi</w:t>
      </w:r>
      <w:r w:rsidR="00F4317D" w:rsidRPr="00064B60">
        <w:rPr>
          <w:lang w:val="sr-Latn-RS"/>
        </w:rPr>
        <w:t>ć, Ivana Đuričić, Danijela Ristić-Medić and</w:t>
      </w:r>
      <w:r w:rsidR="006219B6" w:rsidRPr="00064B60">
        <w:rPr>
          <w:lang w:val="sr-Latn-RS"/>
        </w:rPr>
        <w:t xml:space="preserve"> Slađana Šobajić</w:t>
      </w:r>
      <w:r w:rsidR="00626A62" w:rsidRPr="00064B60">
        <w:rPr>
          <w:lang w:val="sr-Latn-RS"/>
        </w:rPr>
        <w:t xml:space="preserve">. </w:t>
      </w:r>
      <w:r w:rsidR="00626A62" w:rsidRPr="00064B60">
        <w:t>We have made a list of all corrections that we have made in the text according to your comments and suggestions.</w:t>
      </w:r>
    </w:p>
    <w:p w:rsidR="00626A62" w:rsidRPr="00064B60" w:rsidRDefault="00626A62" w:rsidP="00C673AB">
      <w:pPr>
        <w:pStyle w:val="Default"/>
        <w:spacing w:line="360" w:lineRule="auto"/>
        <w:rPr>
          <w:rFonts w:ascii="Times New Roman" w:hAnsi="Times New Roman" w:cs="Times New Roman"/>
          <w:color w:val="auto"/>
          <w:lang w:val="en-US"/>
        </w:rPr>
      </w:pPr>
    </w:p>
    <w:p w:rsidR="00626A62" w:rsidRPr="00064B60" w:rsidRDefault="00626A62" w:rsidP="00C673AB">
      <w:pPr>
        <w:pStyle w:val="Default"/>
        <w:spacing w:line="360" w:lineRule="auto"/>
        <w:rPr>
          <w:rFonts w:ascii="Times New Roman" w:hAnsi="Times New Roman" w:cs="Times New Roman"/>
          <w:color w:val="auto"/>
        </w:rPr>
      </w:pPr>
      <w:r w:rsidRPr="00064B60">
        <w:rPr>
          <w:rFonts w:ascii="Times New Roman" w:hAnsi="Times New Roman" w:cs="Times New Roman"/>
          <w:color w:val="auto"/>
        </w:rPr>
        <w:t>Best regards</w:t>
      </w:r>
    </w:p>
    <w:p w:rsidR="00626A62" w:rsidRPr="00064B60" w:rsidRDefault="00626A62" w:rsidP="00C673AB">
      <w:pPr>
        <w:pStyle w:val="Default"/>
        <w:spacing w:line="360" w:lineRule="auto"/>
        <w:rPr>
          <w:rFonts w:ascii="Times New Roman" w:hAnsi="Times New Roman" w:cs="Times New Roman"/>
          <w:color w:val="auto"/>
          <w:lang w:val="sr-Latn-RS"/>
        </w:rPr>
      </w:pPr>
      <w:r w:rsidRPr="00064B60">
        <w:rPr>
          <w:rFonts w:ascii="Times New Roman" w:hAnsi="Times New Roman" w:cs="Times New Roman"/>
          <w:color w:val="auto"/>
        </w:rPr>
        <w:t>Jasmina B. Timi</w:t>
      </w:r>
      <w:r w:rsidRPr="00064B60">
        <w:rPr>
          <w:rFonts w:ascii="Times New Roman" w:hAnsi="Times New Roman" w:cs="Times New Roman"/>
          <w:color w:val="auto"/>
          <w:lang w:val="sr-Latn-RS"/>
        </w:rPr>
        <w:t>ć</w:t>
      </w:r>
    </w:p>
    <w:p w:rsidR="00626A62" w:rsidRPr="00064B60" w:rsidRDefault="002E579F" w:rsidP="00C673AB">
      <w:pPr>
        <w:pStyle w:val="Default"/>
        <w:spacing w:line="360" w:lineRule="auto"/>
        <w:rPr>
          <w:rFonts w:ascii="Times New Roman" w:hAnsi="Times New Roman" w:cs="Times New Roman"/>
          <w:color w:val="auto"/>
          <w:lang w:val="sr-Latn-RS"/>
        </w:rPr>
      </w:pPr>
      <w:r>
        <w:rPr>
          <w:rFonts w:ascii="Times New Roman" w:hAnsi="Times New Roman" w:cs="Times New Roman"/>
          <w:color w:val="auto"/>
          <w:lang w:val="sr-Latn-RS"/>
        </w:rPr>
        <w:t xml:space="preserve">2nd April </w:t>
      </w:r>
      <w:r w:rsidR="00626A62" w:rsidRPr="00064B60">
        <w:rPr>
          <w:rFonts w:ascii="Times New Roman" w:hAnsi="Times New Roman" w:cs="Times New Roman"/>
          <w:color w:val="auto"/>
          <w:lang w:val="sr-Latn-RS"/>
        </w:rPr>
        <w:t xml:space="preserve"> 2018.</w:t>
      </w:r>
    </w:p>
    <w:p w:rsidR="00626A62" w:rsidRPr="00064B60" w:rsidRDefault="00626A62" w:rsidP="00C673AB">
      <w:pPr>
        <w:pStyle w:val="Default"/>
        <w:spacing w:line="360" w:lineRule="auto"/>
        <w:rPr>
          <w:rFonts w:ascii="Times New Roman" w:hAnsi="Times New Roman" w:cs="Times New Roman"/>
          <w:color w:val="auto"/>
          <w:lang w:val="sr-Latn-RS"/>
        </w:rPr>
      </w:pPr>
    </w:p>
    <w:p w:rsidR="00626A62" w:rsidRPr="00064B60" w:rsidRDefault="00626A62" w:rsidP="00C673AB">
      <w:pPr>
        <w:spacing w:line="360" w:lineRule="auto"/>
        <w:rPr>
          <w:b/>
          <w:u w:val="single"/>
        </w:rPr>
      </w:pPr>
      <w:r w:rsidRPr="00064B60">
        <w:rPr>
          <w:b/>
          <w:u w:val="single"/>
        </w:rPr>
        <w:t>Ans</w:t>
      </w:r>
      <w:r w:rsidR="004E0FFF" w:rsidRPr="00064B60">
        <w:rPr>
          <w:b/>
          <w:u w:val="single"/>
        </w:rPr>
        <w:t>wers to the comments made by revi</w:t>
      </w:r>
      <w:r w:rsidR="0060026E" w:rsidRPr="00064B60">
        <w:rPr>
          <w:b/>
          <w:u w:val="single"/>
        </w:rPr>
        <w:t>ewer  D</w:t>
      </w:r>
      <w:r w:rsidR="004E0FFF" w:rsidRPr="00064B60">
        <w:rPr>
          <w:b/>
          <w:u w:val="single"/>
        </w:rPr>
        <w:t>:</w:t>
      </w:r>
    </w:p>
    <w:p w:rsidR="00626A62" w:rsidRPr="00064B60" w:rsidRDefault="00626A62" w:rsidP="00C673AB">
      <w:pPr>
        <w:spacing w:line="360" w:lineRule="auto"/>
      </w:pPr>
    </w:p>
    <w:p w:rsidR="00626A62" w:rsidRPr="00064B60" w:rsidRDefault="00626A62" w:rsidP="00C673AB">
      <w:pPr>
        <w:pStyle w:val="ListParagraph"/>
        <w:numPr>
          <w:ilvl w:val="0"/>
          <w:numId w:val="1"/>
        </w:numPr>
        <w:spacing w:line="360" w:lineRule="auto"/>
        <w:rPr>
          <w:b/>
          <w:color w:val="212121"/>
          <w:shd w:val="clear" w:color="auto" w:fill="FFFFFF"/>
        </w:rPr>
      </w:pPr>
      <w:r w:rsidRPr="00064B60">
        <w:rPr>
          <w:b/>
          <w:color w:val="212121"/>
          <w:shd w:val="clear" w:color="auto" w:fill="FFFFFF"/>
        </w:rPr>
        <w:t>General comments/suggestions:</w:t>
      </w:r>
      <w:r w:rsidRPr="00064B60">
        <w:rPr>
          <w:b/>
          <w:color w:val="212121"/>
        </w:rPr>
        <w:br/>
      </w:r>
      <w:r w:rsidRPr="00064B60">
        <w:rPr>
          <w:b/>
          <w:color w:val="212121"/>
          <w:shd w:val="clear" w:color="auto" w:fill="FFFFFF"/>
        </w:rPr>
        <w:t>I think that an abbreviation section should be added at the beginning of the</w:t>
      </w:r>
      <w:r w:rsidRPr="00064B60">
        <w:rPr>
          <w:b/>
          <w:color w:val="212121"/>
        </w:rPr>
        <w:br/>
      </w:r>
      <w:r w:rsidRPr="00064B60">
        <w:rPr>
          <w:b/>
          <w:color w:val="212121"/>
          <w:shd w:val="clear" w:color="auto" w:fill="FFFFFF"/>
        </w:rPr>
        <w:t>article. It will be much simpler to understand each part of the article. </w:t>
      </w:r>
    </w:p>
    <w:p w:rsidR="00626A62" w:rsidRPr="00064B60" w:rsidRDefault="00626A62" w:rsidP="00C673AB">
      <w:pPr>
        <w:pStyle w:val="Default"/>
        <w:spacing w:line="360" w:lineRule="auto"/>
        <w:rPr>
          <w:rFonts w:ascii="Times New Roman" w:hAnsi="Times New Roman" w:cs="Times New Roman"/>
          <w:color w:val="auto"/>
          <w:shd w:val="clear" w:color="auto" w:fill="FFFFFF"/>
        </w:rPr>
      </w:pPr>
      <w:r w:rsidRPr="00064B60">
        <w:rPr>
          <w:rFonts w:ascii="Times New Roman" w:hAnsi="Times New Roman" w:cs="Times New Roman"/>
          <w:color w:val="auto"/>
          <w:shd w:val="clear" w:color="auto" w:fill="FFFFFF"/>
        </w:rPr>
        <w:t xml:space="preserve">We have included the abbreviation section </w:t>
      </w:r>
      <w:r w:rsidR="00064B60">
        <w:rPr>
          <w:rFonts w:ascii="Times New Roman" w:hAnsi="Times New Roman" w:cs="Times New Roman"/>
          <w:color w:val="auto"/>
          <w:shd w:val="clear" w:color="auto" w:fill="FFFFFF"/>
        </w:rPr>
        <w:t>at the beginning of the article</w:t>
      </w:r>
      <w:r w:rsidR="004F5FE8" w:rsidRPr="00064B60">
        <w:rPr>
          <w:rFonts w:ascii="Times New Roman" w:hAnsi="Times New Roman" w:cs="Times New Roman"/>
          <w:color w:val="auto"/>
          <w:shd w:val="clear" w:color="auto" w:fill="FFFFFF"/>
        </w:rPr>
        <w:t xml:space="preserve"> (page  2</w:t>
      </w:r>
      <w:r w:rsidR="006B7BA6" w:rsidRPr="00064B60">
        <w:rPr>
          <w:rFonts w:ascii="Times New Roman" w:hAnsi="Times New Roman" w:cs="Times New Roman"/>
          <w:color w:val="auto"/>
          <w:shd w:val="clear" w:color="auto" w:fill="FFFFFF"/>
        </w:rPr>
        <w:t>)</w:t>
      </w:r>
    </w:p>
    <w:p w:rsidR="004E0FFF" w:rsidRPr="00064B60" w:rsidRDefault="004E0FFF" w:rsidP="004E0FFF">
      <w:pPr>
        <w:spacing w:line="360" w:lineRule="auto"/>
        <w:rPr>
          <w:u w:val="single"/>
        </w:rPr>
      </w:pPr>
    </w:p>
    <w:p w:rsidR="004E0FFF" w:rsidRPr="00064B60" w:rsidRDefault="004E0FFF" w:rsidP="004E0FFF">
      <w:pPr>
        <w:spacing w:line="360" w:lineRule="auto"/>
        <w:rPr>
          <w:b/>
          <w:u w:val="single"/>
        </w:rPr>
      </w:pPr>
      <w:r w:rsidRPr="00064B60">
        <w:rPr>
          <w:b/>
          <w:u w:val="single"/>
        </w:rPr>
        <w:t>Answers to the comments made by reviewer</w:t>
      </w:r>
      <w:r w:rsidR="0060026E" w:rsidRPr="00064B60">
        <w:rPr>
          <w:b/>
          <w:u w:val="single"/>
        </w:rPr>
        <w:t xml:space="preserve"> </w:t>
      </w:r>
      <w:r w:rsidRPr="00064B60">
        <w:rPr>
          <w:b/>
          <w:u w:val="single"/>
        </w:rPr>
        <w:t xml:space="preserve"> </w:t>
      </w:r>
      <w:r w:rsidR="0060026E" w:rsidRPr="00064B60">
        <w:rPr>
          <w:b/>
          <w:u w:val="single"/>
        </w:rPr>
        <w:t>E</w:t>
      </w:r>
      <w:r w:rsidRPr="00064B60">
        <w:rPr>
          <w:b/>
          <w:u w:val="single"/>
        </w:rPr>
        <w:t>:</w:t>
      </w:r>
    </w:p>
    <w:p w:rsidR="0060026E" w:rsidRPr="00064B60" w:rsidRDefault="0060026E" w:rsidP="004E0FFF">
      <w:pPr>
        <w:spacing w:line="360" w:lineRule="auto"/>
        <w:rPr>
          <w:b/>
          <w:u w:val="single"/>
        </w:rPr>
      </w:pPr>
    </w:p>
    <w:p w:rsidR="006219B6" w:rsidRPr="00064B60" w:rsidRDefault="0060026E" w:rsidP="003C6610">
      <w:pPr>
        <w:pStyle w:val="ListParagraph"/>
        <w:numPr>
          <w:ilvl w:val="0"/>
          <w:numId w:val="2"/>
        </w:numPr>
        <w:spacing w:line="360" w:lineRule="auto"/>
        <w:rPr>
          <w:b/>
          <w:shd w:val="clear" w:color="auto" w:fill="FFFFFF"/>
        </w:rPr>
      </w:pPr>
      <w:r w:rsidRPr="00064B60">
        <w:rPr>
          <w:b/>
          <w:shd w:val="clear" w:color="auto" w:fill="FFFFFF"/>
        </w:rPr>
        <w:t>Is the quality of the figures (including legends and axes labelling)</w:t>
      </w:r>
      <w:r w:rsidRPr="00064B60">
        <w:rPr>
          <w:b/>
        </w:rPr>
        <w:br/>
      </w:r>
      <w:r w:rsidR="00660193" w:rsidRPr="00064B60">
        <w:rPr>
          <w:b/>
          <w:shd w:val="clear" w:color="auto" w:fill="FFFFFF"/>
        </w:rPr>
        <w:t>satisfactory?:       </w:t>
      </w:r>
      <w:r w:rsidRPr="00064B60">
        <w:rPr>
          <w:b/>
          <w:shd w:val="clear" w:color="auto" w:fill="FFFFFF"/>
        </w:rPr>
        <w:t>no</w:t>
      </w:r>
    </w:p>
    <w:p w:rsidR="00626A62" w:rsidRPr="00064B60" w:rsidRDefault="003C6610" w:rsidP="006219B6">
      <w:pPr>
        <w:spacing w:line="360" w:lineRule="auto"/>
        <w:rPr>
          <w:shd w:val="clear" w:color="auto" w:fill="FFFFFF"/>
        </w:rPr>
      </w:pPr>
      <w:r w:rsidRPr="00064B60">
        <w:t>R</w:t>
      </w:r>
      <w:r w:rsidR="0060026E" w:rsidRPr="00064B60">
        <w:t xml:space="preserve">esolution </w:t>
      </w:r>
      <w:r w:rsidR="00052516" w:rsidRPr="00064B60">
        <w:t xml:space="preserve">for our figures </w:t>
      </w:r>
      <w:r w:rsidRPr="00064B60">
        <w:t xml:space="preserve">is 600 </w:t>
      </w:r>
      <w:r w:rsidR="00660193" w:rsidRPr="00064B60">
        <w:t>dpi which</w:t>
      </w:r>
      <w:r w:rsidRPr="00064B60">
        <w:t xml:space="preserve"> is above the recommended minimum horizontal and vertical resolution of 300 dpi. </w:t>
      </w:r>
    </w:p>
    <w:p w:rsidR="004E0FFF" w:rsidRPr="00064B60" w:rsidRDefault="004E0FFF" w:rsidP="00C673AB">
      <w:pPr>
        <w:pStyle w:val="Default"/>
        <w:numPr>
          <w:ilvl w:val="0"/>
          <w:numId w:val="2"/>
        </w:numPr>
        <w:spacing w:line="360" w:lineRule="auto"/>
        <w:rPr>
          <w:rFonts w:ascii="Times New Roman" w:hAnsi="Times New Roman" w:cs="Times New Roman"/>
          <w:b/>
          <w:color w:val="212121"/>
          <w:shd w:val="clear" w:color="auto" w:fill="FFFFFF"/>
        </w:rPr>
      </w:pPr>
      <w:r w:rsidRPr="00064B60">
        <w:rPr>
          <w:rFonts w:ascii="Times New Roman" w:hAnsi="Times New Roman" w:cs="Times New Roman"/>
          <w:b/>
          <w:color w:val="212121"/>
          <w:shd w:val="clear" w:color="auto" w:fill="FFFFFF"/>
        </w:rPr>
        <w:t>Corrections of English language</w:t>
      </w:r>
      <w:r w:rsidR="00626A62" w:rsidRPr="00064B60">
        <w:rPr>
          <w:rFonts w:ascii="Times New Roman" w:hAnsi="Times New Roman" w:cs="Times New Roman"/>
          <w:b/>
          <w:color w:val="212121"/>
          <w:shd w:val="clear" w:color="auto" w:fill="FFFFFF"/>
        </w:rPr>
        <w:t> : </w:t>
      </w:r>
    </w:p>
    <w:p w:rsidR="00626A62" w:rsidRPr="00064B60" w:rsidRDefault="00626A62" w:rsidP="004E0FFF">
      <w:pPr>
        <w:pStyle w:val="Default"/>
        <w:spacing w:line="360" w:lineRule="auto"/>
        <w:rPr>
          <w:rFonts w:ascii="Times New Roman" w:hAnsi="Times New Roman" w:cs="Times New Roman"/>
          <w:color w:val="212121"/>
          <w:shd w:val="clear" w:color="auto" w:fill="FFFFFF"/>
        </w:rPr>
      </w:pPr>
      <w:r w:rsidRPr="00064B60">
        <w:rPr>
          <w:rFonts w:ascii="Times New Roman" w:hAnsi="Times New Roman" w:cs="Times New Roman"/>
          <w:color w:val="212121"/>
          <w:shd w:val="clear" w:color="auto" w:fill="FFFFFF"/>
        </w:rPr>
        <w:t xml:space="preserve">We have </w:t>
      </w:r>
      <w:r w:rsidR="00530C39" w:rsidRPr="00064B60">
        <w:rPr>
          <w:rFonts w:ascii="Times New Roman" w:hAnsi="Times New Roman" w:cs="Times New Roman"/>
          <w:color w:val="212121"/>
          <w:shd w:val="clear" w:color="auto" w:fill="FFFFFF"/>
        </w:rPr>
        <w:t>changed word</w:t>
      </w:r>
      <w:r w:rsidR="00CC5B19" w:rsidRPr="00064B60">
        <w:rPr>
          <w:rFonts w:ascii="Times New Roman" w:hAnsi="Times New Roman" w:cs="Times New Roman"/>
          <w:color w:val="212121"/>
          <w:shd w:val="clear" w:color="auto" w:fill="FFFFFF"/>
        </w:rPr>
        <w:t xml:space="preserve"> „reach</w:t>
      </w:r>
      <w:r w:rsidR="00530C39" w:rsidRPr="00064B60">
        <w:rPr>
          <w:rFonts w:ascii="Times New Roman" w:hAnsi="Times New Roman" w:cs="Times New Roman"/>
          <w:color w:val="212121"/>
          <w:shd w:val="clear" w:color="auto" w:fill="FFFFFF"/>
        </w:rPr>
        <w:t>“</w:t>
      </w:r>
      <w:r w:rsidR="00CC5B19" w:rsidRPr="00064B60">
        <w:rPr>
          <w:rFonts w:ascii="Times New Roman" w:hAnsi="Times New Roman" w:cs="Times New Roman"/>
          <w:color w:val="212121"/>
          <w:shd w:val="clear" w:color="auto" w:fill="FFFFFF"/>
        </w:rPr>
        <w:t xml:space="preserve"> to </w:t>
      </w:r>
      <w:r w:rsidR="00530C39" w:rsidRPr="00064B60">
        <w:rPr>
          <w:rFonts w:ascii="Times New Roman" w:hAnsi="Times New Roman" w:cs="Times New Roman"/>
          <w:color w:val="212121"/>
          <w:shd w:val="clear" w:color="auto" w:fill="FFFFFF"/>
        </w:rPr>
        <w:t>„</w:t>
      </w:r>
      <w:r w:rsidR="00CC5B19" w:rsidRPr="00064B60">
        <w:rPr>
          <w:rFonts w:ascii="Times New Roman" w:hAnsi="Times New Roman" w:cs="Times New Roman"/>
          <w:color w:val="212121"/>
          <w:shd w:val="clear" w:color="auto" w:fill="FFFFFF"/>
        </w:rPr>
        <w:t>rich“</w:t>
      </w:r>
      <w:r w:rsidR="004F5FE8" w:rsidRPr="00064B60">
        <w:rPr>
          <w:rFonts w:ascii="Times New Roman" w:hAnsi="Times New Roman" w:cs="Times New Roman"/>
          <w:color w:val="212121"/>
          <w:shd w:val="clear" w:color="auto" w:fill="FFFFFF"/>
        </w:rPr>
        <w:t xml:space="preserve">   (page 2</w:t>
      </w:r>
      <w:r w:rsidR="006B7BA6" w:rsidRPr="00064B60">
        <w:rPr>
          <w:rFonts w:ascii="Times New Roman" w:hAnsi="Times New Roman" w:cs="Times New Roman"/>
          <w:color w:val="212121"/>
          <w:shd w:val="clear" w:color="auto" w:fill="FFFFFF"/>
        </w:rPr>
        <w:t>)</w:t>
      </w:r>
    </w:p>
    <w:p w:rsidR="00CC5B19" w:rsidRPr="00064B60" w:rsidRDefault="00CC5B19" w:rsidP="00C673AB">
      <w:pPr>
        <w:pStyle w:val="Default"/>
        <w:spacing w:line="360" w:lineRule="auto"/>
        <w:rPr>
          <w:rFonts w:ascii="Times New Roman" w:hAnsi="Times New Roman" w:cs="Times New Roman"/>
          <w:color w:val="212121"/>
          <w:shd w:val="clear" w:color="auto" w:fill="FFFFFF"/>
        </w:rPr>
      </w:pPr>
      <w:r w:rsidRPr="00064B60">
        <w:rPr>
          <w:rFonts w:ascii="Times New Roman" w:hAnsi="Times New Roman" w:cs="Times New Roman"/>
          <w:color w:val="212121"/>
          <w:shd w:val="clear" w:color="auto" w:fill="FFFFFF"/>
        </w:rPr>
        <w:t xml:space="preserve">We have </w:t>
      </w:r>
      <w:r w:rsidR="00530C39" w:rsidRPr="00064B60">
        <w:rPr>
          <w:rFonts w:ascii="Times New Roman" w:hAnsi="Times New Roman" w:cs="Times New Roman"/>
          <w:color w:val="212121"/>
          <w:shd w:val="clear" w:color="auto" w:fill="FFFFFF"/>
        </w:rPr>
        <w:t>changed word</w:t>
      </w:r>
      <w:r w:rsidRPr="00064B60">
        <w:rPr>
          <w:rFonts w:ascii="Times New Roman" w:hAnsi="Times New Roman" w:cs="Times New Roman"/>
          <w:color w:val="212121"/>
          <w:shd w:val="clear" w:color="auto" w:fill="FFFFFF"/>
        </w:rPr>
        <w:t xml:space="preserve"> „Malysia</w:t>
      </w:r>
      <w:r w:rsidR="00530C39" w:rsidRPr="00064B60">
        <w:rPr>
          <w:rFonts w:ascii="Times New Roman" w:hAnsi="Times New Roman" w:cs="Times New Roman"/>
          <w:color w:val="212121"/>
          <w:shd w:val="clear" w:color="auto" w:fill="FFFFFF"/>
        </w:rPr>
        <w:t>“</w:t>
      </w:r>
      <w:r w:rsidRPr="00064B60">
        <w:rPr>
          <w:rFonts w:ascii="Times New Roman" w:hAnsi="Times New Roman" w:cs="Times New Roman"/>
          <w:color w:val="212121"/>
          <w:shd w:val="clear" w:color="auto" w:fill="FFFFFF"/>
        </w:rPr>
        <w:t xml:space="preserve"> to </w:t>
      </w:r>
      <w:r w:rsidR="00530C39" w:rsidRPr="00064B60">
        <w:rPr>
          <w:rFonts w:ascii="Times New Roman" w:hAnsi="Times New Roman" w:cs="Times New Roman"/>
          <w:color w:val="212121"/>
          <w:shd w:val="clear" w:color="auto" w:fill="FFFFFF"/>
        </w:rPr>
        <w:t>„</w:t>
      </w:r>
      <w:r w:rsidRPr="00064B60">
        <w:rPr>
          <w:rFonts w:ascii="Times New Roman" w:hAnsi="Times New Roman" w:cs="Times New Roman"/>
          <w:color w:val="212121"/>
          <w:shd w:val="clear" w:color="auto" w:fill="FFFFFF"/>
        </w:rPr>
        <w:t>Malaysia“</w:t>
      </w:r>
      <w:r w:rsidR="004F5FE8" w:rsidRPr="00064B60">
        <w:rPr>
          <w:rFonts w:ascii="Times New Roman" w:hAnsi="Times New Roman" w:cs="Times New Roman"/>
          <w:color w:val="212121"/>
          <w:shd w:val="clear" w:color="auto" w:fill="FFFFFF"/>
        </w:rPr>
        <w:t xml:space="preserve">  (page  2</w:t>
      </w:r>
      <w:r w:rsidR="006B7BA6" w:rsidRPr="00064B60">
        <w:rPr>
          <w:rFonts w:ascii="Times New Roman" w:hAnsi="Times New Roman" w:cs="Times New Roman"/>
          <w:color w:val="212121"/>
          <w:shd w:val="clear" w:color="auto" w:fill="FFFFFF"/>
        </w:rPr>
        <w:t>)</w:t>
      </w:r>
    </w:p>
    <w:p w:rsidR="00530C39" w:rsidRPr="00064B60" w:rsidRDefault="00530C39" w:rsidP="00C673AB">
      <w:pPr>
        <w:pStyle w:val="Default"/>
        <w:spacing w:line="360" w:lineRule="auto"/>
        <w:rPr>
          <w:rFonts w:ascii="Times New Roman" w:hAnsi="Times New Roman" w:cs="Times New Roman"/>
          <w:color w:val="212121"/>
          <w:shd w:val="clear" w:color="auto" w:fill="FFFFFF"/>
        </w:rPr>
      </w:pPr>
    </w:p>
    <w:p w:rsidR="00CC5B19" w:rsidRPr="00064B60" w:rsidRDefault="00CC5B19" w:rsidP="004E0FFF">
      <w:pPr>
        <w:pStyle w:val="Default"/>
        <w:numPr>
          <w:ilvl w:val="0"/>
          <w:numId w:val="2"/>
        </w:numPr>
        <w:spacing w:line="360" w:lineRule="auto"/>
        <w:rPr>
          <w:rFonts w:ascii="Times New Roman" w:hAnsi="Times New Roman" w:cs="Times New Roman"/>
          <w:b/>
          <w:color w:val="auto"/>
          <w:lang w:val="en-US"/>
        </w:rPr>
      </w:pPr>
      <w:r w:rsidRPr="00064B60">
        <w:rPr>
          <w:rFonts w:ascii="Times New Roman" w:hAnsi="Times New Roman" w:cs="Times New Roman"/>
          <w:b/>
          <w:color w:val="212121"/>
          <w:shd w:val="clear" w:color="auto" w:fill="FFFFFF"/>
        </w:rPr>
        <w:t>53 – and Portugal (ref9)</w:t>
      </w:r>
    </w:p>
    <w:p w:rsidR="00CC5B19" w:rsidRPr="00064B60" w:rsidRDefault="00CC5B19" w:rsidP="00C673AB">
      <w:pPr>
        <w:pStyle w:val="Default"/>
        <w:spacing w:line="360" w:lineRule="auto"/>
        <w:rPr>
          <w:rFonts w:ascii="Times New Roman" w:hAnsi="Times New Roman" w:cs="Times New Roman"/>
          <w:lang w:val="en-US"/>
        </w:rPr>
      </w:pPr>
      <w:r w:rsidRPr="00064B60">
        <w:rPr>
          <w:rFonts w:ascii="Times New Roman" w:hAnsi="Times New Roman" w:cs="Times New Roman"/>
          <w:color w:val="212121"/>
          <w:shd w:val="clear" w:color="auto" w:fill="FFFFFF"/>
        </w:rPr>
        <w:t xml:space="preserve">We have </w:t>
      </w:r>
      <w:r w:rsidR="00530C39" w:rsidRPr="00064B60">
        <w:rPr>
          <w:rFonts w:ascii="Times New Roman" w:hAnsi="Times New Roman" w:cs="Times New Roman"/>
          <w:color w:val="212121"/>
          <w:shd w:val="clear" w:color="auto" w:fill="FFFFFF"/>
        </w:rPr>
        <w:t>added the reference for Portugal</w:t>
      </w:r>
      <w:r w:rsidR="004F5FE8" w:rsidRPr="00064B60">
        <w:rPr>
          <w:rFonts w:ascii="Times New Roman" w:hAnsi="Times New Roman" w:cs="Times New Roman"/>
          <w:lang w:val="en-US"/>
        </w:rPr>
        <w:t xml:space="preserve">  (page 2</w:t>
      </w:r>
      <w:r w:rsidR="006B7BA6" w:rsidRPr="00064B60">
        <w:rPr>
          <w:rFonts w:ascii="Times New Roman" w:hAnsi="Times New Roman" w:cs="Times New Roman"/>
          <w:lang w:val="en-US"/>
        </w:rPr>
        <w:t>)</w:t>
      </w:r>
    </w:p>
    <w:p w:rsidR="00CC5B19" w:rsidRPr="00064B60" w:rsidRDefault="00CC5B19" w:rsidP="004E0FFF">
      <w:pPr>
        <w:pStyle w:val="Default"/>
        <w:numPr>
          <w:ilvl w:val="0"/>
          <w:numId w:val="2"/>
        </w:numPr>
        <w:spacing w:line="360" w:lineRule="auto"/>
        <w:rPr>
          <w:rFonts w:ascii="Times New Roman" w:hAnsi="Times New Roman" w:cs="Times New Roman"/>
          <w:b/>
          <w:color w:val="auto"/>
          <w:lang w:val="en-US"/>
        </w:rPr>
      </w:pPr>
      <w:r w:rsidRPr="00064B60">
        <w:rPr>
          <w:rFonts w:ascii="Times New Roman" w:hAnsi="Times New Roman" w:cs="Times New Roman"/>
          <w:b/>
          <w:color w:val="212121"/>
          <w:shd w:val="clear" w:color="auto" w:fill="FFFFFF"/>
        </w:rPr>
        <w:t>62 – ref for the few studies should be given.</w:t>
      </w:r>
    </w:p>
    <w:p w:rsidR="00CC5B19" w:rsidRPr="00064B60" w:rsidRDefault="00CC5B19" w:rsidP="00C673AB">
      <w:pPr>
        <w:pStyle w:val="Default"/>
        <w:spacing w:line="360" w:lineRule="auto"/>
        <w:rPr>
          <w:rFonts w:ascii="Times New Roman" w:hAnsi="Times New Roman" w:cs="Times New Roman"/>
          <w:color w:val="auto"/>
          <w:lang w:val="en-US"/>
        </w:rPr>
      </w:pPr>
      <w:r w:rsidRPr="00064B60">
        <w:rPr>
          <w:rFonts w:ascii="Times New Roman" w:hAnsi="Times New Roman" w:cs="Times New Roman"/>
          <w:color w:val="auto"/>
          <w:lang w:val="en-US"/>
        </w:rPr>
        <w:t xml:space="preserve">We </w:t>
      </w:r>
      <w:r w:rsidR="006178A6" w:rsidRPr="00064B60">
        <w:rPr>
          <w:rFonts w:ascii="Times New Roman" w:hAnsi="Times New Roman" w:cs="Times New Roman"/>
          <w:color w:val="auto"/>
          <w:lang w:val="en-US"/>
        </w:rPr>
        <w:t xml:space="preserve">have </w:t>
      </w:r>
      <w:r w:rsidRPr="00064B60">
        <w:rPr>
          <w:rFonts w:ascii="Times New Roman" w:hAnsi="Times New Roman" w:cs="Times New Roman"/>
          <w:color w:val="auto"/>
          <w:lang w:val="en-US"/>
        </w:rPr>
        <w:t xml:space="preserve">included </w:t>
      </w:r>
      <w:r w:rsidR="00530C39" w:rsidRPr="00064B60">
        <w:rPr>
          <w:rFonts w:ascii="Times New Roman" w:hAnsi="Times New Roman" w:cs="Times New Roman"/>
          <w:color w:val="auto"/>
          <w:lang w:val="en-US"/>
        </w:rPr>
        <w:t>2 new</w:t>
      </w:r>
      <w:r w:rsidRPr="00064B60">
        <w:rPr>
          <w:rFonts w:ascii="Times New Roman" w:hAnsi="Times New Roman" w:cs="Times New Roman"/>
          <w:color w:val="auto"/>
          <w:lang w:val="en-US"/>
        </w:rPr>
        <w:t xml:space="preserve"> references:</w:t>
      </w:r>
    </w:p>
    <w:p w:rsidR="00444B76" w:rsidRPr="00064B60" w:rsidRDefault="00444B76" w:rsidP="00444B76">
      <w:pPr>
        <w:pStyle w:val="ListParagraph"/>
        <w:numPr>
          <w:ilvl w:val="0"/>
          <w:numId w:val="4"/>
        </w:numPr>
        <w:spacing w:after="200" w:line="360" w:lineRule="auto"/>
        <w:rPr>
          <w:rFonts w:eastAsiaTheme="minorHAnsi"/>
          <w:szCs w:val="22"/>
          <w:lang w:val="sr-Latn-RS"/>
        </w:rPr>
      </w:pPr>
      <w:r w:rsidRPr="00064B60">
        <w:rPr>
          <w:rFonts w:eastAsiaTheme="minorHAnsi"/>
          <w:szCs w:val="22"/>
          <w:lang w:val="sr-Latn-RS"/>
        </w:rPr>
        <w:lastRenderedPageBreak/>
        <w:t xml:space="preserve">M. Barać, M. Kresojević, B. Špirović-Trifunović, M. Pešić, T. Vučić, A. Kostić, S. Despotović,  </w:t>
      </w:r>
      <w:r w:rsidRPr="00064B60">
        <w:rPr>
          <w:rFonts w:eastAsiaTheme="minorHAnsi"/>
          <w:i/>
          <w:szCs w:val="22"/>
          <w:lang w:val="sr-Latn-RS"/>
        </w:rPr>
        <w:t>Mljekarstvo</w:t>
      </w:r>
      <w:r w:rsidRPr="00064B60">
        <w:rPr>
          <w:rFonts w:eastAsiaTheme="minorHAnsi"/>
          <w:szCs w:val="22"/>
          <w:lang w:val="sr-Latn-RS"/>
        </w:rPr>
        <w:t xml:space="preserve"> </w:t>
      </w:r>
      <w:r w:rsidRPr="00064B60">
        <w:rPr>
          <w:rFonts w:eastAsiaTheme="minorHAnsi"/>
          <w:b/>
          <w:szCs w:val="22"/>
          <w:lang w:val="sr-Latn-RS"/>
        </w:rPr>
        <w:t xml:space="preserve">68 </w:t>
      </w:r>
      <w:r w:rsidRPr="00064B60">
        <w:rPr>
          <w:rFonts w:eastAsiaTheme="minorHAnsi"/>
          <w:szCs w:val="22"/>
          <w:lang w:val="sr-Latn-RS"/>
        </w:rPr>
        <w:t>(2018) 37</w:t>
      </w:r>
    </w:p>
    <w:p w:rsidR="00444B76" w:rsidRPr="00064B60" w:rsidRDefault="00444B76" w:rsidP="00444B76">
      <w:pPr>
        <w:pStyle w:val="ListParagraph"/>
        <w:numPr>
          <w:ilvl w:val="0"/>
          <w:numId w:val="4"/>
        </w:numPr>
        <w:spacing w:after="200" w:line="360" w:lineRule="auto"/>
        <w:rPr>
          <w:rFonts w:eastAsiaTheme="minorHAnsi"/>
          <w:szCs w:val="22"/>
          <w:lang w:val="sr-Latn-RS"/>
        </w:rPr>
      </w:pPr>
      <w:r w:rsidRPr="00064B60">
        <w:t>S. Kravić, N. Marjanović,  Z. Suturović,  J. Švarc-Gajić,  Z. Stojanović, M. Pucarević,   </w:t>
      </w:r>
      <w:r w:rsidRPr="00064B60">
        <w:rPr>
          <w:i/>
        </w:rPr>
        <w:t>Acta Alimentaria</w:t>
      </w:r>
      <w:r w:rsidRPr="00064B60">
        <w:t xml:space="preserve">  </w:t>
      </w:r>
      <w:r w:rsidRPr="00064B60">
        <w:rPr>
          <w:b/>
        </w:rPr>
        <w:t>39</w:t>
      </w:r>
      <w:r w:rsidR="004F5FE8" w:rsidRPr="00064B60">
        <w:t xml:space="preserve"> (2010) 413 (page 3)</w:t>
      </w:r>
    </w:p>
    <w:p w:rsidR="00236E57" w:rsidRPr="00064B60" w:rsidRDefault="00236E57" w:rsidP="00236E57">
      <w:pPr>
        <w:pStyle w:val="ListParagraph"/>
        <w:spacing w:after="200" w:line="360" w:lineRule="auto"/>
        <w:rPr>
          <w:rFonts w:eastAsiaTheme="minorHAnsi"/>
          <w:szCs w:val="22"/>
          <w:lang w:val="sr-Latn-RS"/>
        </w:rPr>
      </w:pPr>
    </w:p>
    <w:p w:rsidR="00E80936" w:rsidRPr="00064B60" w:rsidRDefault="00E80936" w:rsidP="0060026E">
      <w:pPr>
        <w:pStyle w:val="ListParagraph"/>
        <w:numPr>
          <w:ilvl w:val="0"/>
          <w:numId w:val="2"/>
        </w:numPr>
        <w:autoSpaceDE w:val="0"/>
        <w:autoSpaceDN w:val="0"/>
        <w:adjustRightInd w:val="0"/>
        <w:spacing w:line="360" w:lineRule="auto"/>
        <w:rPr>
          <w:rFonts w:eastAsiaTheme="minorHAnsi"/>
          <w:b/>
          <w:lang w:val="sr-Latn-RS"/>
        </w:rPr>
      </w:pPr>
      <w:r w:rsidRPr="00064B60">
        <w:rPr>
          <w:b/>
          <w:color w:val="212121"/>
          <w:shd w:val="clear" w:color="auto" w:fill="FFFFFF"/>
        </w:rPr>
        <w:t>Corrections of English language </w:t>
      </w:r>
      <w:r w:rsidRPr="00064B60">
        <w:rPr>
          <w:b/>
          <w:shd w:val="clear" w:color="auto" w:fill="FFFFFF"/>
        </w:rPr>
        <w:t xml:space="preserve"> </w:t>
      </w:r>
    </w:p>
    <w:p w:rsidR="00E80936" w:rsidRPr="00064B60" w:rsidRDefault="00E80936" w:rsidP="00E80936">
      <w:pPr>
        <w:pStyle w:val="ListParagraph"/>
        <w:rPr>
          <w:b/>
          <w:shd w:val="clear" w:color="auto" w:fill="FFFFFF"/>
        </w:rPr>
      </w:pPr>
    </w:p>
    <w:p w:rsidR="00CC5B19" w:rsidRPr="00064B60" w:rsidRDefault="00E80936" w:rsidP="00E80936">
      <w:pPr>
        <w:autoSpaceDE w:val="0"/>
        <w:autoSpaceDN w:val="0"/>
        <w:adjustRightInd w:val="0"/>
        <w:spacing w:line="360" w:lineRule="auto"/>
        <w:rPr>
          <w:color w:val="212121"/>
          <w:shd w:val="clear" w:color="auto" w:fill="FFFFFF"/>
        </w:rPr>
      </w:pPr>
      <w:r w:rsidRPr="00064B60">
        <w:rPr>
          <w:color w:val="212121"/>
          <w:shd w:val="clear" w:color="auto" w:fill="FFFFFF"/>
        </w:rPr>
        <w:t xml:space="preserve">We have corrected the </w:t>
      </w:r>
      <w:r w:rsidR="00B60637" w:rsidRPr="00064B60">
        <w:rPr>
          <w:color w:val="212121"/>
          <w:shd w:val="clear" w:color="auto" w:fill="FFFFFF"/>
        </w:rPr>
        <w:t>term</w:t>
      </w:r>
      <w:r w:rsidRPr="00064B60">
        <w:rPr>
          <w:color w:val="212121"/>
          <w:shd w:val="clear" w:color="auto" w:fill="FFFFFF"/>
        </w:rPr>
        <w:t xml:space="preserve"> „productsalso</w:t>
      </w:r>
      <w:r w:rsidR="00B60637" w:rsidRPr="00064B60">
        <w:rPr>
          <w:color w:val="212121"/>
          <w:shd w:val="clear" w:color="auto" w:fill="FFFFFF"/>
        </w:rPr>
        <w:t>”</w:t>
      </w:r>
      <w:r w:rsidRPr="00064B60">
        <w:rPr>
          <w:color w:val="212121"/>
          <w:shd w:val="clear" w:color="auto" w:fill="FFFFFF"/>
        </w:rPr>
        <w:t xml:space="preserve"> to </w:t>
      </w:r>
      <w:r w:rsidR="00B60637" w:rsidRPr="00064B60">
        <w:rPr>
          <w:color w:val="212121"/>
          <w:shd w:val="clear" w:color="auto" w:fill="FFFFFF"/>
        </w:rPr>
        <w:t>“</w:t>
      </w:r>
      <w:r w:rsidR="00CC5B19" w:rsidRPr="00064B60">
        <w:rPr>
          <w:shd w:val="clear" w:color="auto" w:fill="FFFFFF"/>
        </w:rPr>
        <w:t>products also</w:t>
      </w:r>
      <w:r w:rsidRPr="00064B60">
        <w:rPr>
          <w:shd w:val="clear" w:color="auto" w:fill="FFFFFF"/>
        </w:rPr>
        <w:t xml:space="preserve">” </w:t>
      </w:r>
      <w:r w:rsidR="004F5FE8" w:rsidRPr="00064B60">
        <w:rPr>
          <w:color w:val="212121"/>
          <w:shd w:val="clear" w:color="auto" w:fill="FFFFFF"/>
        </w:rPr>
        <w:t>(page 10</w:t>
      </w:r>
      <w:r w:rsidRPr="00064B60">
        <w:rPr>
          <w:color w:val="212121"/>
          <w:shd w:val="clear" w:color="auto" w:fill="FFFFFF"/>
        </w:rPr>
        <w:t>)</w:t>
      </w:r>
    </w:p>
    <w:p w:rsidR="00E80936" w:rsidRPr="00064B60" w:rsidRDefault="00E80936" w:rsidP="00E80936">
      <w:pPr>
        <w:autoSpaceDE w:val="0"/>
        <w:autoSpaceDN w:val="0"/>
        <w:adjustRightInd w:val="0"/>
        <w:spacing w:line="360" w:lineRule="auto"/>
        <w:rPr>
          <w:rFonts w:eastAsiaTheme="minorHAnsi"/>
          <w:lang w:val="sr-Latn-RS"/>
        </w:rPr>
      </w:pPr>
    </w:p>
    <w:p w:rsidR="00475D8E" w:rsidRPr="00064B60" w:rsidRDefault="00475D8E" w:rsidP="0060026E">
      <w:pPr>
        <w:pStyle w:val="ListParagraph"/>
        <w:numPr>
          <w:ilvl w:val="0"/>
          <w:numId w:val="2"/>
        </w:numPr>
        <w:autoSpaceDE w:val="0"/>
        <w:autoSpaceDN w:val="0"/>
        <w:adjustRightInd w:val="0"/>
        <w:spacing w:line="360" w:lineRule="auto"/>
        <w:rPr>
          <w:rFonts w:eastAsia="AdvGulliv-R"/>
          <w:b/>
        </w:rPr>
      </w:pPr>
      <w:r w:rsidRPr="00064B60">
        <w:rPr>
          <w:b/>
          <w:shd w:val="clear" w:color="auto" w:fill="FFFFFF"/>
        </w:rPr>
        <w:t>TFA are not considered “Nutrients” and are not included in the</w:t>
      </w:r>
      <w:r w:rsidRPr="00064B60">
        <w:rPr>
          <w:b/>
        </w:rPr>
        <w:br/>
      </w:r>
      <w:r w:rsidRPr="00064B60">
        <w:rPr>
          <w:b/>
          <w:shd w:val="clear" w:color="auto" w:fill="FFFFFF"/>
        </w:rPr>
        <w:t>most recent European labelling legislation (they cannot be labelled).</w:t>
      </w:r>
    </w:p>
    <w:p w:rsidR="00B60637" w:rsidRPr="00064B60" w:rsidRDefault="00B60637" w:rsidP="00B60637">
      <w:pPr>
        <w:spacing w:after="200" w:line="360" w:lineRule="auto"/>
        <w:rPr>
          <w:rFonts w:eastAsia="Calibri"/>
        </w:rPr>
      </w:pPr>
      <w:r w:rsidRPr="00064B60">
        <w:rPr>
          <w:rFonts w:eastAsia="Calibri"/>
        </w:rPr>
        <w:t>Reviewer E is correct, tFAs are not considered nutrients and in EU, as well as in Serbia, they are not included into nutritional tables. However, due to their well-established negative health effects, many countries and international bodies such as EFSA are considering new strategies to decrease their intake in general population. Some of the proposed methods are mandatory labelling of tFA content on foods (Canada has already applied this method), mandatory limits for tFAs in foods (applied in Denmark and Austria) or voluntarily product reformulation.</w:t>
      </w:r>
    </w:p>
    <w:p w:rsidR="00475D8E" w:rsidRPr="00064B60" w:rsidRDefault="00B60637" w:rsidP="00B60637">
      <w:pPr>
        <w:spacing w:after="200" w:line="360" w:lineRule="auto"/>
        <w:rPr>
          <w:rFonts w:eastAsia="Calibri"/>
        </w:rPr>
      </w:pPr>
      <w:r w:rsidRPr="00064B60">
        <w:rPr>
          <w:rFonts w:eastAsia="Calibri"/>
        </w:rPr>
        <w:t xml:space="preserve">We have made correction in the last sentence of the conclusion </w:t>
      </w:r>
      <w:r w:rsidR="00E27C07" w:rsidRPr="00064B60">
        <w:rPr>
          <w:rFonts w:eastAsia="Calibri"/>
        </w:rPr>
        <w:t xml:space="preserve">and mentioned one of these new strategies </w:t>
      </w:r>
      <w:r w:rsidR="004F03F7" w:rsidRPr="00064B60">
        <w:rPr>
          <w:rFonts w:eastAsia="Calibri"/>
          <w:color w:val="FF0000"/>
        </w:rPr>
        <w:t xml:space="preserve"> </w:t>
      </w:r>
      <w:r w:rsidR="004F03F7" w:rsidRPr="00064B60">
        <w:rPr>
          <w:rFonts w:eastAsia="Calibri"/>
        </w:rPr>
        <w:t>(page 14</w:t>
      </w:r>
      <w:r w:rsidR="00475D8E" w:rsidRPr="00064B60">
        <w:rPr>
          <w:rFonts w:eastAsia="Calibri"/>
        </w:rPr>
        <w:t>)</w:t>
      </w:r>
      <w:r w:rsidR="00052516" w:rsidRPr="00064B60">
        <w:rPr>
          <w:rFonts w:eastAsia="Calibri"/>
        </w:rPr>
        <w:t>:</w:t>
      </w:r>
    </w:p>
    <w:p w:rsidR="00052516" w:rsidRPr="002E579F" w:rsidRDefault="00052516" w:rsidP="00B60637">
      <w:pPr>
        <w:spacing w:after="200" w:line="360" w:lineRule="auto"/>
        <w:rPr>
          <w:rFonts w:eastAsiaTheme="minorHAnsi"/>
          <w:i/>
        </w:rPr>
      </w:pPr>
      <w:r w:rsidRPr="002E579F">
        <w:rPr>
          <w:rFonts w:eastAsia="Calibri"/>
          <w:i/>
        </w:rPr>
        <w:t>Better education about importance of healthy eating habits and mandatory limiting of tFA content in final products are two strategies that could be used in improving dietary habits.</w:t>
      </w:r>
    </w:p>
    <w:p w:rsidR="00475D8E" w:rsidRPr="00064B60" w:rsidRDefault="00475D8E" w:rsidP="00C673AB">
      <w:pPr>
        <w:spacing w:line="360" w:lineRule="auto"/>
        <w:jc w:val="both"/>
        <w:rPr>
          <w:rFonts w:eastAsia="Calibri"/>
          <w:color w:val="FF0000"/>
        </w:rPr>
      </w:pPr>
    </w:p>
    <w:p w:rsidR="00475D8E" w:rsidRPr="00064B60" w:rsidRDefault="00475D8E" w:rsidP="0060026E">
      <w:pPr>
        <w:pStyle w:val="ListParagraph"/>
        <w:numPr>
          <w:ilvl w:val="0"/>
          <w:numId w:val="2"/>
        </w:numPr>
        <w:spacing w:line="360" w:lineRule="auto"/>
        <w:jc w:val="both"/>
        <w:rPr>
          <w:rFonts w:eastAsia="Calibri"/>
          <w:b/>
        </w:rPr>
      </w:pPr>
      <w:r w:rsidRPr="00064B60">
        <w:rPr>
          <w:b/>
          <w:color w:val="212121"/>
          <w:shd w:val="clear" w:color="auto" w:fill="FFFFFF"/>
        </w:rPr>
        <w:t>113 Why chloroform for fat extraction? Method basis?</w:t>
      </w:r>
    </w:p>
    <w:p w:rsidR="00C124B3" w:rsidRPr="00064B60" w:rsidRDefault="00C124B3" w:rsidP="00C124B3">
      <w:pPr>
        <w:spacing w:line="360" w:lineRule="auto"/>
        <w:jc w:val="both"/>
        <w:rPr>
          <w:rFonts w:eastAsia="Calibri"/>
          <w:b/>
        </w:rPr>
      </w:pPr>
    </w:p>
    <w:p w:rsidR="00444B76" w:rsidRPr="00064B60" w:rsidRDefault="002D6053" w:rsidP="00444B76">
      <w:pPr>
        <w:spacing w:line="360" w:lineRule="auto"/>
        <w:jc w:val="both"/>
        <w:rPr>
          <w:rFonts w:eastAsia="Calibri"/>
        </w:rPr>
      </w:pPr>
      <w:r w:rsidRPr="00064B60">
        <w:rPr>
          <w:rFonts w:eastAsia="Calibri"/>
        </w:rPr>
        <w:t xml:space="preserve"> </w:t>
      </w:r>
      <w:r w:rsidR="00E27C07" w:rsidRPr="00064B60">
        <w:rPr>
          <w:rFonts w:eastAsia="Calibri"/>
        </w:rPr>
        <w:t xml:space="preserve">We have added text to the Experimental Section / Total fat content in order to explain the use of chloroform for the fat extraction </w:t>
      </w:r>
      <w:r w:rsidR="000B34C7" w:rsidRPr="00064B60">
        <w:rPr>
          <w:rFonts w:eastAsia="Calibri"/>
        </w:rPr>
        <w:t>(page 5</w:t>
      </w:r>
      <w:r w:rsidR="00052516" w:rsidRPr="00064B60">
        <w:rPr>
          <w:rFonts w:eastAsia="Calibri"/>
        </w:rPr>
        <w:t>):</w:t>
      </w:r>
    </w:p>
    <w:p w:rsidR="00052516" w:rsidRPr="00A12F41" w:rsidRDefault="00660193" w:rsidP="00052516">
      <w:pPr>
        <w:spacing w:line="360" w:lineRule="auto"/>
        <w:jc w:val="both"/>
        <w:rPr>
          <w:i/>
        </w:rPr>
      </w:pPr>
      <w:r w:rsidRPr="00A12F41">
        <w:rPr>
          <w:i/>
          <w:lang w:val="sr-Latn-RS"/>
        </w:rPr>
        <w:t>Total fat content was</w:t>
      </w:r>
      <w:r w:rsidR="00052516" w:rsidRPr="00A12F41">
        <w:rPr>
          <w:i/>
          <w:lang w:val="sr-Latn-RS"/>
        </w:rPr>
        <w:t xml:space="preserve"> determined gravimetrically, after chloroform extraction, according to the modified Soxlet method</w:t>
      </w:r>
      <w:r w:rsidR="00052516" w:rsidRPr="00A12F41">
        <w:rPr>
          <w:i/>
          <w:vertAlign w:val="superscript"/>
          <w:lang w:val="sr-Latn-RS"/>
        </w:rPr>
        <w:t>14</w:t>
      </w:r>
      <w:r w:rsidR="00052516" w:rsidRPr="00A12F41">
        <w:rPr>
          <w:i/>
          <w:lang w:val="sr-Latn-RS"/>
        </w:rPr>
        <w:t xml:space="preserve">, recognized by the Analytical Chemists Association as standard method for analyzing the content of total lipids in samples of plant and animal origin. </w:t>
      </w:r>
      <w:r w:rsidR="00052516" w:rsidRPr="00A12F41">
        <w:rPr>
          <w:i/>
        </w:rPr>
        <w:t xml:space="preserve">About 10 g of homogenized sample was extracted for 4-5 hours. </w:t>
      </w:r>
      <w:r w:rsidR="00052516" w:rsidRPr="00A12F41">
        <w:rPr>
          <w:rFonts w:eastAsia="Calibri"/>
          <w:i/>
          <w:lang w:val="sr-Latn-RS"/>
        </w:rPr>
        <w:t xml:space="preserve">Chloroform </w:t>
      </w:r>
      <w:r w:rsidR="00052516" w:rsidRPr="00A12F41">
        <w:rPr>
          <w:i/>
        </w:rPr>
        <w:t xml:space="preserve">(min. 99 % purity, provided from Sigma-Aldrich, </w:t>
      </w:r>
      <w:hyperlink r:id="rId7" w:tooltip="St. Louis, Missouri" w:history="1">
        <w:r w:rsidR="00052516" w:rsidRPr="00A12F41">
          <w:rPr>
            <w:i/>
          </w:rPr>
          <w:t>St. Louis, Missouri</w:t>
        </w:r>
      </w:hyperlink>
      <w:r w:rsidR="00052516" w:rsidRPr="00A12F41">
        <w:rPr>
          <w:i/>
        </w:rPr>
        <w:t xml:space="preserve">, USA) </w:t>
      </w:r>
      <w:r w:rsidR="00052516" w:rsidRPr="00A12F41">
        <w:rPr>
          <w:rFonts w:eastAsia="Calibri"/>
          <w:i/>
          <w:lang w:val="sr-Latn-RS"/>
        </w:rPr>
        <w:t xml:space="preserve">is one of commonly used non-flammable non-polar organic solvents for total fat extraction. </w:t>
      </w:r>
      <w:r w:rsidR="00052516" w:rsidRPr="00A12F41">
        <w:rPr>
          <w:i/>
        </w:rPr>
        <w:t>Results were expressed in %.</w:t>
      </w:r>
    </w:p>
    <w:p w:rsidR="00E27C07" w:rsidRPr="00064B60" w:rsidRDefault="00E27C07" w:rsidP="00444B76">
      <w:pPr>
        <w:spacing w:line="360" w:lineRule="auto"/>
        <w:jc w:val="both"/>
        <w:rPr>
          <w:rFonts w:eastAsiaTheme="minorHAnsi"/>
          <w:spacing w:val="2"/>
          <w:shd w:val="clear" w:color="auto" w:fill="FCFCFC"/>
          <w:lang w:val="sr-Latn-RS"/>
        </w:rPr>
      </w:pPr>
    </w:p>
    <w:p w:rsidR="00C673AB" w:rsidRPr="00064B60" w:rsidRDefault="00C673AB" w:rsidP="0060026E">
      <w:pPr>
        <w:pStyle w:val="ListParagraph"/>
        <w:numPr>
          <w:ilvl w:val="0"/>
          <w:numId w:val="2"/>
        </w:numPr>
        <w:spacing w:line="360" w:lineRule="auto"/>
        <w:jc w:val="both"/>
        <w:rPr>
          <w:rFonts w:eastAsiaTheme="minorHAnsi"/>
          <w:b/>
          <w:spacing w:val="2"/>
          <w:shd w:val="clear" w:color="auto" w:fill="FCFCFC"/>
          <w:lang w:val="sr-Latn-RS"/>
        </w:rPr>
      </w:pPr>
      <w:r w:rsidRPr="00064B60">
        <w:rPr>
          <w:b/>
          <w:shd w:val="clear" w:color="auto" w:fill="FFFFFF"/>
        </w:rPr>
        <w:t>Why only C18:1 - 9t and C18:2 - 9t, 12t were identified? And only these were</w:t>
      </w:r>
      <w:r w:rsidRPr="00064B60">
        <w:rPr>
          <w:b/>
        </w:rPr>
        <w:br/>
      </w:r>
      <w:r w:rsidRPr="00064B60">
        <w:rPr>
          <w:b/>
          <w:shd w:val="clear" w:color="auto" w:fill="FFFFFF"/>
        </w:rPr>
        <w:t>quantified? This could represent a reduction on actual contents because</w:t>
      </w:r>
      <w:r w:rsidRPr="00064B60">
        <w:rPr>
          <w:b/>
        </w:rPr>
        <w:br/>
      </w:r>
      <w:r w:rsidRPr="00064B60">
        <w:rPr>
          <w:b/>
          <w:shd w:val="clear" w:color="auto" w:fill="FFFFFF"/>
        </w:rPr>
        <w:t>other isomeric forms are usually present and a 100m column is able to</w:t>
      </w:r>
      <w:r w:rsidRPr="00064B60">
        <w:rPr>
          <w:b/>
        </w:rPr>
        <w:br/>
      </w:r>
      <w:r w:rsidRPr="00064B60">
        <w:rPr>
          <w:b/>
          <w:shd w:val="clear" w:color="auto" w:fill="FFFFFF"/>
        </w:rPr>
        <w:t>distinguish them. Please include a chromatogram as example for a more clear</w:t>
      </w:r>
      <w:r w:rsidRPr="00064B60">
        <w:rPr>
          <w:b/>
        </w:rPr>
        <w:br/>
      </w:r>
      <w:r w:rsidRPr="00064B60">
        <w:rPr>
          <w:b/>
          <w:shd w:val="clear" w:color="auto" w:fill="FFFFFF"/>
        </w:rPr>
        <w:t>understanding on what was quantified as tFA</w:t>
      </w:r>
      <w:r w:rsidR="006319E8" w:rsidRPr="00064B60">
        <w:rPr>
          <w:b/>
          <w:shd w:val="clear" w:color="auto" w:fill="FFFFFF"/>
        </w:rPr>
        <w:t>.</w:t>
      </w:r>
    </w:p>
    <w:p w:rsidR="00475D8E" w:rsidRPr="00064B60" w:rsidRDefault="00C673AB" w:rsidP="00E27C07">
      <w:pPr>
        <w:spacing w:line="360" w:lineRule="auto"/>
        <w:jc w:val="both"/>
        <w:rPr>
          <w:rFonts w:eastAsia="Calibri"/>
        </w:rPr>
      </w:pPr>
      <w:r w:rsidRPr="00064B60">
        <w:rPr>
          <w:rFonts w:eastAsia="Calibri"/>
        </w:rPr>
        <w:t>C18: 1 - 9</w:t>
      </w:r>
      <w:r w:rsidRPr="00064B60">
        <w:rPr>
          <w:rFonts w:eastAsia="Calibri"/>
          <w:i/>
        </w:rPr>
        <w:t xml:space="preserve">t </w:t>
      </w:r>
      <w:r w:rsidRPr="00064B60">
        <w:rPr>
          <w:rFonts w:eastAsia="Calibri"/>
        </w:rPr>
        <w:t>and C18: 2 - 9</w:t>
      </w:r>
      <w:r w:rsidRPr="00064B60">
        <w:rPr>
          <w:rFonts w:eastAsia="Calibri"/>
          <w:i/>
        </w:rPr>
        <w:t>t</w:t>
      </w:r>
      <w:r w:rsidRPr="00064B60">
        <w:rPr>
          <w:rFonts w:eastAsia="Calibri"/>
        </w:rPr>
        <w:t>, 12</w:t>
      </w:r>
      <w:r w:rsidRPr="00064B60">
        <w:rPr>
          <w:rFonts w:eastAsia="Calibri"/>
          <w:i/>
        </w:rPr>
        <w:t xml:space="preserve">t </w:t>
      </w:r>
      <w:r w:rsidRPr="00064B60">
        <w:rPr>
          <w:rFonts w:eastAsia="Calibri"/>
        </w:rPr>
        <w:t xml:space="preserve">were the only identified </w:t>
      </w:r>
      <w:r w:rsidRPr="00064B60">
        <w:rPr>
          <w:rFonts w:eastAsia="Calibri"/>
          <w:i/>
        </w:rPr>
        <w:t>trans</w:t>
      </w:r>
      <w:r w:rsidR="006319E8" w:rsidRPr="00064B60">
        <w:rPr>
          <w:rFonts w:eastAsia="Calibri"/>
        </w:rPr>
        <w:t>-</w:t>
      </w:r>
      <w:r w:rsidRPr="00064B60">
        <w:rPr>
          <w:rFonts w:eastAsia="Calibri"/>
        </w:rPr>
        <w:t xml:space="preserve">isomers presented in measurable concentrations in our analyzed samples of salty snack products, </w:t>
      </w:r>
      <w:r w:rsidR="00E27C07" w:rsidRPr="00064B60">
        <w:rPr>
          <w:rFonts w:eastAsia="Calibri"/>
        </w:rPr>
        <w:t xml:space="preserve">and that is </w:t>
      </w:r>
      <w:r w:rsidRPr="00064B60">
        <w:rPr>
          <w:rFonts w:eastAsia="Calibri"/>
        </w:rPr>
        <w:t>also supported with similar studies</w:t>
      </w:r>
      <w:r w:rsidR="00444B76" w:rsidRPr="00064B60">
        <w:rPr>
          <w:rFonts w:eastAsia="Calibri"/>
        </w:rPr>
        <w:t>.</w:t>
      </w:r>
      <w:r w:rsidR="00E27C07" w:rsidRPr="00064B60">
        <w:rPr>
          <w:rFonts w:eastAsia="Calibri"/>
        </w:rPr>
        <w:t xml:space="preserve"> We</w:t>
      </w:r>
      <w:r w:rsidR="000F1577" w:rsidRPr="00064B60">
        <w:rPr>
          <w:rFonts w:eastAsia="Calibri"/>
        </w:rPr>
        <w:t xml:space="preserve"> have mentioned this in the Re</w:t>
      </w:r>
      <w:r w:rsidR="00CF69F0" w:rsidRPr="00064B60">
        <w:rPr>
          <w:rFonts w:eastAsia="Calibri"/>
        </w:rPr>
        <w:t>s</w:t>
      </w:r>
      <w:r w:rsidR="000F1577" w:rsidRPr="00064B60">
        <w:rPr>
          <w:rFonts w:eastAsia="Calibri"/>
        </w:rPr>
        <w:t>u</w:t>
      </w:r>
      <w:r w:rsidR="00E27C07" w:rsidRPr="00064B60">
        <w:rPr>
          <w:rFonts w:eastAsia="Calibri"/>
        </w:rPr>
        <w:t>l</w:t>
      </w:r>
      <w:r w:rsidR="000F1577" w:rsidRPr="00064B60">
        <w:rPr>
          <w:rFonts w:eastAsia="Calibri"/>
        </w:rPr>
        <w:t>t</w:t>
      </w:r>
      <w:r w:rsidR="00E27C07" w:rsidRPr="00064B60">
        <w:rPr>
          <w:rFonts w:eastAsia="Calibri"/>
        </w:rPr>
        <w:t xml:space="preserve">s&amp;Discussion Section </w:t>
      </w:r>
      <w:r w:rsidR="00A12F41">
        <w:rPr>
          <w:rFonts w:eastAsia="Calibri"/>
        </w:rPr>
        <w:t>on page 10:</w:t>
      </w:r>
    </w:p>
    <w:p w:rsidR="00A12F41" w:rsidRPr="00A12F41" w:rsidRDefault="00A12F41" w:rsidP="00E27C07">
      <w:pPr>
        <w:spacing w:line="360" w:lineRule="auto"/>
        <w:jc w:val="both"/>
        <w:rPr>
          <w:rFonts w:eastAsia="Calibri"/>
          <w:i/>
        </w:rPr>
      </w:pPr>
      <w:r w:rsidRPr="00A12F41">
        <w:rPr>
          <w:rFonts w:eastAsia="Calibri"/>
          <w:i/>
        </w:rPr>
        <w:t xml:space="preserve">Only two trans-isomers, elaidic (C18:1 - 9t) and linolelaidic fatty acids (C18:2 - 9t, 12t), were identified in 38 out of 58 analyzed snack products (Tables II-IV). </w:t>
      </w:r>
    </w:p>
    <w:p w:rsidR="00A12F41" w:rsidRDefault="00A12F41" w:rsidP="00E27C07">
      <w:pPr>
        <w:spacing w:line="360" w:lineRule="auto"/>
        <w:jc w:val="both"/>
        <w:rPr>
          <w:rFonts w:eastAsia="Calibri"/>
        </w:rPr>
      </w:pPr>
    </w:p>
    <w:p w:rsidR="00C673AB" w:rsidRPr="00064B60" w:rsidRDefault="00C673AB" w:rsidP="00E27C07">
      <w:pPr>
        <w:spacing w:line="360" w:lineRule="auto"/>
        <w:jc w:val="both"/>
        <w:rPr>
          <w:rFonts w:eastAsia="Calibri"/>
        </w:rPr>
      </w:pPr>
      <w:r w:rsidRPr="00064B60">
        <w:rPr>
          <w:rFonts w:eastAsia="Calibri"/>
        </w:rPr>
        <w:t xml:space="preserve">We have also included chromatogram showing detected </w:t>
      </w:r>
      <w:r w:rsidR="006319E8" w:rsidRPr="00064B60">
        <w:rPr>
          <w:rFonts w:eastAsia="Calibri"/>
          <w:i/>
        </w:rPr>
        <w:t>tran</w:t>
      </w:r>
      <w:r w:rsidR="00F31E73" w:rsidRPr="00064B60">
        <w:rPr>
          <w:rFonts w:eastAsia="Calibri"/>
          <w:i/>
        </w:rPr>
        <w:t>s</w:t>
      </w:r>
      <w:r w:rsidR="006319E8" w:rsidRPr="00064B60">
        <w:rPr>
          <w:rFonts w:eastAsia="Calibri"/>
          <w:i/>
        </w:rPr>
        <w:t>-</w:t>
      </w:r>
      <w:r w:rsidRPr="00064B60">
        <w:rPr>
          <w:rFonts w:eastAsia="Calibri"/>
          <w:i/>
        </w:rPr>
        <w:t xml:space="preserve"> </w:t>
      </w:r>
      <w:r w:rsidRPr="00064B60">
        <w:rPr>
          <w:rFonts w:eastAsia="Calibri"/>
        </w:rPr>
        <w:t>isomers</w:t>
      </w:r>
      <w:r w:rsidR="000B34C7" w:rsidRPr="00064B60">
        <w:rPr>
          <w:rFonts w:eastAsia="Calibri"/>
        </w:rPr>
        <w:t xml:space="preserve"> (page 13).</w:t>
      </w:r>
    </w:p>
    <w:p w:rsidR="00475D8E" w:rsidRPr="00064B60" w:rsidRDefault="00475D8E" w:rsidP="00C673AB">
      <w:pPr>
        <w:autoSpaceDE w:val="0"/>
        <w:autoSpaceDN w:val="0"/>
        <w:adjustRightInd w:val="0"/>
        <w:spacing w:line="360" w:lineRule="auto"/>
        <w:rPr>
          <w:rFonts w:eastAsia="AdvGulliv-R"/>
        </w:rPr>
      </w:pPr>
    </w:p>
    <w:p w:rsidR="00C673AB" w:rsidRPr="00064B60" w:rsidRDefault="00C673AB" w:rsidP="0060026E">
      <w:pPr>
        <w:pStyle w:val="ListParagraph"/>
        <w:numPr>
          <w:ilvl w:val="0"/>
          <w:numId w:val="2"/>
        </w:numPr>
        <w:autoSpaceDE w:val="0"/>
        <w:autoSpaceDN w:val="0"/>
        <w:adjustRightInd w:val="0"/>
        <w:spacing w:line="360" w:lineRule="auto"/>
        <w:rPr>
          <w:rFonts w:eastAsia="AdvGulliv-R"/>
          <w:b/>
          <w:sz w:val="28"/>
        </w:rPr>
      </w:pPr>
      <w:r w:rsidRPr="00064B60">
        <w:rPr>
          <w:b/>
          <w:szCs w:val="22"/>
          <w:shd w:val="clear" w:color="auto" w:fill="FFFFFF"/>
        </w:rPr>
        <w:t>How was the FID calibrated?</w:t>
      </w:r>
    </w:p>
    <w:p w:rsidR="00052516" w:rsidRPr="00064B60" w:rsidRDefault="00F8184C" w:rsidP="00F8184C">
      <w:pPr>
        <w:autoSpaceDE w:val="0"/>
        <w:autoSpaceDN w:val="0"/>
        <w:adjustRightInd w:val="0"/>
        <w:spacing w:line="360" w:lineRule="auto"/>
        <w:rPr>
          <w:rFonts w:eastAsia="AdvGulliv-R"/>
        </w:rPr>
      </w:pPr>
      <w:r w:rsidRPr="00064B60">
        <w:rPr>
          <w:rFonts w:eastAsia="AdvGulliv-R"/>
        </w:rPr>
        <w:t xml:space="preserve">The flame-ionization </w:t>
      </w:r>
      <w:r w:rsidR="00D04FB8" w:rsidRPr="00064B60">
        <w:rPr>
          <w:rFonts w:eastAsia="AdvGulliv-R"/>
        </w:rPr>
        <w:t>detector (</w:t>
      </w:r>
      <w:r w:rsidRPr="00064B60">
        <w:rPr>
          <w:rFonts w:eastAsia="AdvGulliv-R"/>
        </w:rPr>
        <w:t xml:space="preserve">FID) was calibrated according to the type of method applied for fatty acids analysis in </w:t>
      </w:r>
      <w:r w:rsidR="00052516" w:rsidRPr="00064B60">
        <w:rPr>
          <w:rFonts w:eastAsia="AdvGulliv-R"/>
        </w:rPr>
        <w:t>selected matrix</w:t>
      </w:r>
      <w:r w:rsidRPr="00064B60">
        <w:rPr>
          <w:rFonts w:eastAsia="AdvGulliv-R"/>
        </w:rPr>
        <w:t>.</w:t>
      </w:r>
      <w:r w:rsidR="00052516" w:rsidRPr="00064B60">
        <w:rPr>
          <w:rFonts w:eastAsia="AdvGulliv-R"/>
        </w:rPr>
        <w:t xml:space="preserve"> We added such explanation to the text:</w:t>
      </w:r>
    </w:p>
    <w:p w:rsidR="00F8184C" w:rsidRPr="002511E3" w:rsidRDefault="00052516" w:rsidP="00F8184C">
      <w:pPr>
        <w:autoSpaceDE w:val="0"/>
        <w:autoSpaceDN w:val="0"/>
        <w:adjustRightInd w:val="0"/>
        <w:spacing w:line="360" w:lineRule="auto"/>
        <w:rPr>
          <w:rFonts w:eastAsia="AdvGulliv-R"/>
          <w:i/>
        </w:rPr>
      </w:pPr>
      <w:r w:rsidRPr="002511E3">
        <w:rPr>
          <w:i/>
        </w:rPr>
        <w:t>For the applied method FID detector was calibrated under the following conditions: FID detector temperature was 270 °C , makeup gas N</w:t>
      </w:r>
      <w:r w:rsidRPr="002511E3">
        <w:rPr>
          <w:i/>
          <w:vertAlign w:val="subscript"/>
        </w:rPr>
        <w:t>2</w:t>
      </w:r>
      <w:r w:rsidRPr="002511E3">
        <w:rPr>
          <w:i/>
        </w:rPr>
        <w:t>; H</w:t>
      </w:r>
      <w:r w:rsidRPr="002511E3">
        <w:rPr>
          <w:i/>
          <w:vertAlign w:val="subscript"/>
        </w:rPr>
        <w:t xml:space="preserve">2 </w:t>
      </w:r>
      <w:r w:rsidRPr="002511E3">
        <w:rPr>
          <w:i/>
        </w:rPr>
        <w:t>flow-30 ml/min; air flow- 400 ml/min; make</w:t>
      </w:r>
      <w:r w:rsidR="002511E3" w:rsidRPr="002511E3">
        <w:rPr>
          <w:i/>
        </w:rPr>
        <w:t>-</w:t>
      </w:r>
      <w:r w:rsidRPr="002511E3">
        <w:rPr>
          <w:i/>
        </w:rPr>
        <w:t xml:space="preserve">up flow-25 ml/min. </w:t>
      </w:r>
      <w:r w:rsidR="000B34C7" w:rsidRPr="002511E3">
        <w:rPr>
          <w:rFonts w:eastAsia="AdvGulliv-R"/>
          <w:i/>
        </w:rPr>
        <w:t>(page 6)</w:t>
      </w:r>
    </w:p>
    <w:p w:rsidR="00444B76" w:rsidRPr="00064B60" w:rsidRDefault="00444B76" w:rsidP="00C673AB">
      <w:pPr>
        <w:autoSpaceDE w:val="0"/>
        <w:autoSpaceDN w:val="0"/>
        <w:adjustRightInd w:val="0"/>
        <w:spacing w:line="360" w:lineRule="auto"/>
        <w:rPr>
          <w:rFonts w:eastAsia="AdvGulliv-R"/>
          <w:b/>
          <w:sz w:val="28"/>
        </w:rPr>
      </w:pPr>
    </w:p>
    <w:p w:rsidR="00C673AB" w:rsidRPr="00064B60" w:rsidRDefault="00C673AB" w:rsidP="0060026E">
      <w:pPr>
        <w:pStyle w:val="ListParagraph"/>
        <w:numPr>
          <w:ilvl w:val="0"/>
          <w:numId w:val="2"/>
        </w:numPr>
        <w:autoSpaceDE w:val="0"/>
        <w:autoSpaceDN w:val="0"/>
        <w:adjustRightInd w:val="0"/>
        <w:spacing w:line="360" w:lineRule="auto"/>
        <w:rPr>
          <w:rFonts w:eastAsia="AdvGulliv-R"/>
          <w:b/>
        </w:rPr>
      </w:pPr>
      <w:r w:rsidRPr="00064B60">
        <w:rPr>
          <w:b/>
          <w:shd w:val="clear" w:color="auto" w:fill="FFFFFF"/>
        </w:rPr>
        <w:t>Based on table 1 it seems that the only fat source in cracker was palmolein.</w:t>
      </w:r>
      <w:r w:rsidRPr="00064B60">
        <w:rPr>
          <w:b/>
        </w:rPr>
        <w:br/>
      </w:r>
      <w:r w:rsidRPr="00064B60">
        <w:rPr>
          <w:b/>
          <w:shd w:val="clear" w:color="auto" w:fill="FFFFFF"/>
        </w:rPr>
        <w:t>Is this true? All the samples list all the possibilities for fat sources?</w:t>
      </w:r>
      <w:r w:rsidRPr="00064B60">
        <w:rPr>
          <w:b/>
        </w:rPr>
        <w:br/>
      </w:r>
      <w:r w:rsidRPr="00064B60">
        <w:rPr>
          <w:b/>
          <w:shd w:val="clear" w:color="auto" w:fill="FFFFFF"/>
        </w:rPr>
        <w:t>Because the results gave a high amount of TFA when the fat source is not</w:t>
      </w:r>
      <w:r w:rsidRPr="00064B60">
        <w:rPr>
          <w:b/>
        </w:rPr>
        <w:br/>
      </w:r>
      <w:r w:rsidRPr="00064B60">
        <w:rPr>
          <w:b/>
          <w:shd w:val="clear" w:color="auto" w:fill="FFFFFF"/>
        </w:rPr>
        <w:t>expected to have them. Or it includes also non-labelled sources? This should</w:t>
      </w:r>
      <w:r w:rsidRPr="00064B60">
        <w:rPr>
          <w:b/>
        </w:rPr>
        <w:br/>
      </w:r>
      <w:r w:rsidRPr="00064B60">
        <w:rPr>
          <w:b/>
          <w:shd w:val="clear" w:color="auto" w:fill="FFFFFF"/>
        </w:rPr>
        <w:t>be made clearer.</w:t>
      </w:r>
    </w:p>
    <w:p w:rsidR="00C124B3" w:rsidRPr="00064B60" w:rsidRDefault="00C124B3" w:rsidP="00C124B3">
      <w:pPr>
        <w:autoSpaceDE w:val="0"/>
        <w:autoSpaceDN w:val="0"/>
        <w:adjustRightInd w:val="0"/>
        <w:spacing w:line="360" w:lineRule="auto"/>
        <w:rPr>
          <w:rFonts w:eastAsia="AdvGulliv-R"/>
          <w:b/>
        </w:rPr>
      </w:pPr>
    </w:p>
    <w:p w:rsidR="00D04FB8" w:rsidRPr="00064B60" w:rsidRDefault="00D04FB8" w:rsidP="00D04FB8">
      <w:pPr>
        <w:autoSpaceDE w:val="0"/>
        <w:autoSpaceDN w:val="0"/>
        <w:adjustRightInd w:val="0"/>
        <w:spacing w:line="360" w:lineRule="auto"/>
        <w:rPr>
          <w:rFonts w:eastAsia="AdvGulliv-R"/>
        </w:rPr>
      </w:pPr>
      <w:r w:rsidRPr="00064B60">
        <w:rPr>
          <w:rFonts w:eastAsia="AdvGulliv-R"/>
        </w:rPr>
        <w:t>Table 1 listed</w:t>
      </w:r>
      <w:r w:rsidR="00C673AB" w:rsidRPr="00064B60">
        <w:rPr>
          <w:rFonts w:eastAsia="AdvGulliv-R"/>
        </w:rPr>
        <w:t xml:space="preserve"> the </w:t>
      </w:r>
      <w:r w:rsidRPr="00064B60">
        <w:rPr>
          <w:rFonts w:eastAsia="AdvGulliv-R"/>
        </w:rPr>
        <w:t xml:space="preserve">type and content of </w:t>
      </w:r>
      <w:r w:rsidR="00A14051" w:rsidRPr="00064B60">
        <w:rPr>
          <w:rFonts w:eastAsia="AdvGulliv-R"/>
        </w:rPr>
        <w:t xml:space="preserve">all </w:t>
      </w:r>
      <w:r w:rsidR="00C673AB" w:rsidRPr="00064B60">
        <w:rPr>
          <w:rFonts w:eastAsia="AdvGulliv-R"/>
        </w:rPr>
        <w:t>fat</w:t>
      </w:r>
      <w:r w:rsidRPr="00064B60">
        <w:rPr>
          <w:rFonts w:eastAsia="AdvGulliv-R"/>
        </w:rPr>
        <w:t>s/oils in</w:t>
      </w:r>
      <w:r w:rsidR="00C673AB" w:rsidRPr="00064B60">
        <w:rPr>
          <w:rFonts w:eastAsia="AdvGulliv-R"/>
        </w:rPr>
        <w:t xml:space="preserve"> </w:t>
      </w:r>
      <w:r w:rsidR="00E80936" w:rsidRPr="00064B60">
        <w:rPr>
          <w:rFonts w:eastAsia="AdvGulliv-R"/>
        </w:rPr>
        <w:t xml:space="preserve">analyzed </w:t>
      </w:r>
      <w:r w:rsidR="008D02DB" w:rsidRPr="00064B60">
        <w:rPr>
          <w:rFonts w:eastAsia="AdvGulliv-R"/>
        </w:rPr>
        <w:t>product</w:t>
      </w:r>
      <w:r w:rsidRPr="00064B60">
        <w:rPr>
          <w:rFonts w:eastAsia="AdvGulliv-R"/>
        </w:rPr>
        <w:t>s</w:t>
      </w:r>
      <w:r w:rsidR="008D02DB" w:rsidRPr="00064B60">
        <w:rPr>
          <w:rFonts w:eastAsia="AdvGulliv-R"/>
        </w:rPr>
        <w:t xml:space="preserve"> </w:t>
      </w:r>
      <w:r w:rsidR="00A14051" w:rsidRPr="00064B60">
        <w:rPr>
          <w:rFonts w:eastAsia="AdvGulliv-R"/>
        </w:rPr>
        <w:t>that were mentioned on food labels.</w:t>
      </w:r>
    </w:p>
    <w:p w:rsidR="00E80936" w:rsidRPr="00064B60" w:rsidRDefault="00E80936" w:rsidP="00C673AB">
      <w:pPr>
        <w:autoSpaceDE w:val="0"/>
        <w:autoSpaceDN w:val="0"/>
        <w:adjustRightInd w:val="0"/>
        <w:spacing w:line="360" w:lineRule="auto"/>
        <w:rPr>
          <w:rFonts w:eastAsia="AdvGulliv-R"/>
        </w:rPr>
      </w:pPr>
    </w:p>
    <w:p w:rsidR="0073099C" w:rsidRPr="00064B60" w:rsidRDefault="00512A6A" w:rsidP="003C6610">
      <w:pPr>
        <w:pStyle w:val="ListParagraph"/>
        <w:numPr>
          <w:ilvl w:val="0"/>
          <w:numId w:val="2"/>
        </w:numPr>
        <w:autoSpaceDE w:val="0"/>
        <w:autoSpaceDN w:val="0"/>
        <w:adjustRightInd w:val="0"/>
        <w:spacing w:line="360" w:lineRule="auto"/>
        <w:rPr>
          <w:rFonts w:eastAsia="AdvGulliv-R"/>
          <w:b/>
          <w:sz w:val="28"/>
        </w:rPr>
      </w:pPr>
      <w:r w:rsidRPr="00064B60">
        <w:rPr>
          <w:b/>
          <w:szCs w:val="22"/>
          <w:shd w:val="clear" w:color="auto" w:fill="FFFFFF"/>
        </w:rPr>
        <w:t xml:space="preserve"> </w:t>
      </w:r>
      <w:r w:rsidR="0073099C" w:rsidRPr="00064B60">
        <w:rPr>
          <w:b/>
          <w:szCs w:val="22"/>
          <w:shd w:val="clear" w:color="auto" w:fill="FFFFFF"/>
        </w:rPr>
        <w:t>252-258 – the FA increase under processing is very small in comparison</w:t>
      </w:r>
      <w:r w:rsidR="0073099C" w:rsidRPr="00064B60">
        <w:rPr>
          <w:b/>
          <w:szCs w:val="22"/>
        </w:rPr>
        <w:br/>
      </w:r>
      <w:r w:rsidR="0073099C" w:rsidRPr="00064B60">
        <w:rPr>
          <w:b/>
          <w:szCs w:val="22"/>
          <w:shd w:val="clear" w:color="auto" w:fill="FFFFFF"/>
        </w:rPr>
        <w:t>with the results expected from a source of fat. This should be made clear</w:t>
      </w:r>
      <w:r w:rsidR="0073099C" w:rsidRPr="00064B60">
        <w:rPr>
          <w:b/>
          <w:szCs w:val="22"/>
        </w:rPr>
        <w:br/>
      </w:r>
      <w:r w:rsidR="0073099C" w:rsidRPr="00064B60">
        <w:rPr>
          <w:b/>
          <w:szCs w:val="22"/>
          <w:shd w:val="clear" w:color="auto" w:fill="FFFFFF"/>
        </w:rPr>
        <w:lastRenderedPageBreak/>
        <w:t>and not used as justification for the huge amount of tFA found in some</w:t>
      </w:r>
      <w:r w:rsidR="0073099C" w:rsidRPr="00064B60">
        <w:rPr>
          <w:b/>
          <w:szCs w:val="22"/>
        </w:rPr>
        <w:br/>
      </w:r>
      <w:r w:rsidR="0073099C" w:rsidRPr="00064B60">
        <w:rPr>
          <w:b/>
          <w:szCs w:val="22"/>
          <w:shd w:val="clear" w:color="auto" w:fill="FFFFFF"/>
        </w:rPr>
        <w:t>unexpected samples. The 6% mentioned or the presence of high tFA in palm</w:t>
      </w:r>
      <w:r w:rsidR="0073099C" w:rsidRPr="00064B60">
        <w:rPr>
          <w:b/>
          <w:szCs w:val="22"/>
        </w:rPr>
        <w:br/>
      </w:r>
      <w:r w:rsidR="0073099C" w:rsidRPr="00064B60">
        <w:rPr>
          <w:b/>
          <w:szCs w:val="22"/>
          <w:shd w:val="clear" w:color="auto" w:fill="FFFFFF"/>
        </w:rPr>
        <w:t>products can solely be mislabelling.</w:t>
      </w:r>
    </w:p>
    <w:p w:rsidR="00A14051" w:rsidRPr="00064B60" w:rsidRDefault="00A14051" w:rsidP="00A14051">
      <w:pPr>
        <w:autoSpaceDE w:val="0"/>
        <w:autoSpaceDN w:val="0"/>
        <w:adjustRightInd w:val="0"/>
        <w:spacing w:line="360" w:lineRule="auto"/>
        <w:rPr>
          <w:rFonts w:eastAsia="AdvGulliv-R"/>
        </w:rPr>
      </w:pPr>
      <w:r w:rsidRPr="00064B60">
        <w:rPr>
          <w:rFonts w:eastAsia="AdvGulliv-R"/>
        </w:rPr>
        <w:t>Since inadequate or incomplete labeling of all ingredients can not be ex</w:t>
      </w:r>
      <w:r w:rsidR="00D84F93" w:rsidRPr="00064B60">
        <w:rPr>
          <w:rFonts w:eastAsia="AdvGulliv-R"/>
        </w:rPr>
        <w:t>c</w:t>
      </w:r>
      <w:r w:rsidRPr="00064B60">
        <w:rPr>
          <w:rFonts w:eastAsia="AdvGulliv-R"/>
        </w:rPr>
        <w:t>luded we have added such comment in the Resu</w:t>
      </w:r>
      <w:r w:rsidR="000B34C7" w:rsidRPr="00064B60">
        <w:rPr>
          <w:rFonts w:eastAsia="AdvGulliv-R"/>
        </w:rPr>
        <w:t>lts&amp;Discussion Section  (page 12)</w:t>
      </w:r>
      <w:r w:rsidR="00052516" w:rsidRPr="00064B60">
        <w:rPr>
          <w:rFonts w:eastAsia="AdvGulliv-R"/>
        </w:rPr>
        <w:t>:</w:t>
      </w:r>
    </w:p>
    <w:p w:rsidR="00206A6C" w:rsidRPr="007C190A" w:rsidRDefault="00052516" w:rsidP="00A14051">
      <w:pPr>
        <w:autoSpaceDE w:val="0"/>
        <w:autoSpaceDN w:val="0"/>
        <w:adjustRightInd w:val="0"/>
        <w:spacing w:line="360" w:lineRule="auto"/>
        <w:rPr>
          <w:rFonts w:eastAsia="AdvGulliv-R"/>
          <w:b/>
          <w:i/>
          <w:sz w:val="28"/>
        </w:rPr>
      </w:pPr>
      <w:r w:rsidRPr="007C190A">
        <w:rPr>
          <w:rFonts w:eastAsia="Calibri"/>
          <w:i/>
          <w:lang w:val="sr-Latn-CS"/>
        </w:rPr>
        <w:t xml:space="preserve">In our investigation expanded rice and rice cakes are rare products with no added fats that had average tFAs content of 6.2 % which could be explained with the effect of expanding process on the basic ingredients. </w:t>
      </w:r>
      <w:r w:rsidRPr="007C190A">
        <w:rPr>
          <w:rFonts w:eastAsia="Calibri"/>
          <w:i/>
        </w:rPr>
        <w:t xml:space="preserve">In the group of clipsy and flips products only palm oil or palm fats were listed on the labels but these products had surprisingly high levels of tFAs which points to the fact that the conditions of the production process also significantly affect tFAs formation, but, like in expanded products, can also </w:t>
      </w:r>
      <w:r w:rsidRPr="007C190A">
        <w:rPr>
          <w:rFonts w:eastAsia="Calibri"/>
          <w:i/>
          <w:lang w:val="sr-Latn-CS"/>
        </w:rPr>
        <w:t>indicate possible incomplite or inadequate labeling of ingredients.</w:t>
      </w:r>
    </w:p>
    <w:p w:rsidR="0073099C" w:rsidRPr="00064B60" w:rsidRDefault="00F31E73" w:rsidP="0060026E">
      <w:pPr>
        <w:pStyle w:val="ListParagraph"/>
        <w:numPr>
          <w:ilvl w:val="0"/>
          <w:numId w:val="2"/>
        </w:numPr>
        <w:spacing w:after="200" w:line="360" w:lineRule="auto"/>
        <w:jc w:val="both"/>
        <w:rPr>
          <w:rFonts w:eastAsia="Calibri"/>
          <w:b/>
          <w:sz w:val="28"/>
        </w:rPr>
      </w:pPr>
      <w:r w:rsidRPr="00064B60">
        <w:rPr>
          <w:b/>
          <w:szCs w:val="22"/>
          <w:shd w:val="clear" w:color="auto" w:fill="FFFFFF"/>
        </w:rPr>
        <w:t xml:space="preserve"> </w:t>
      </w:r>
      <w:r w:rsidR="0073099C" w:rsidRPr="00064B60">
        <w:rPr>
          <w:b/>
          <w:szCs w:val="22"/>
          <w:shd w:val="clear" w:color="auto" w:fill="FFFFFF"/>
        </w:rPr>
        <w:t xml:space="preserve">The intake seems </w:t>
      </w:r>
      <w:r w:rsidR="000B34C7" w:rsidRPr="00064B60">
        <w:rPr>
          <w:b/>
          <w:szCs w:val="22"/>
          <w:shd w:val="clear" w:color="auto" w:fill="FFFFFF"/>
        </w:rPr>
        <w:t>to have been calculated on a 100</w:t>
      </w:r>
      <w:r w:rsidR="0073099C" w:rsidRPr="00064B60">
        <w:rPr>
          <w:b/>
          <w:szCs w:val="22"/>
          <w:shd w:val="clear" w:color="auto" w:fill="FFFFFF"/>
        </w:rPr>
        <w:t>g basis. Although uniform,</w:t>
      </w:r>
      <w:r w:rsidR="0073099C" w:rsidRPr="00064B60">
        <w:rPr>
          <w:b/>
          <w:szCs w:val="22"/>
        </w:rPr>
        <w:br/>
      </w:r>
      <w:r w:rsidR="0073099C" w:rsidRPr="00064B60">
        <w:rPr>
          <w:b/>
          <w:szCs w:val="22"/>
          <w:shd w:val="clear" w:color="auto" w:fill="FFFFFF"/>
        </w:rPr>
        <w:t>for potential ingestion it should be calculated on a dose basis. For ships,</w:t>
      </w:r>
      <w:r w:rsidR="0073099C" w:rsidRPr="00064B60">
        <w:rPr>
          <w:b/>
          <w:szCs w:val="22"/>
        </w:rPr>
        <w:br/>
      </w:r>
      <w:r w:rsidR="0073099C" w:rsidRPr="00064B60">
        <w:rPr>
          <w:b/>
          <w:szCs w:val="22"/>
          <w:shd w:val="clear" w:color="auto" w:fill="FFFFFF"/>
        </w:rPr>
        <w:t>for instance, or cracked snacks, it is usually more near 30g, not 100g. What</w:t>
      </w:r>
      <w:r w:rsidR="0073099C" w:rsidRPr="00064B60">
        <w:rPr>
          <w:b/>
          <w:szCs w:val="22"/>
        </w:rPr>
        <w:br/>
      </w:r>
      <w:r w:rsidR="0073099C" w:rsidRPr="00064B60">
        <w:rPr>
          <w:b/>
          <w:szCs w:val="22"/>
          <w:shd w:val="clear" w:color="auto" w:fill="FFFFFF"/>
        </w:rPr>
        <w:t>was the basis for the dose decision? This can alter in a huge way the</w:t>
      </w:r>
      <w:r w:rsidR="0073099C" w:rsidRPr="00064B60">
        <w:rPr>
          <w:b/>
          <w:szCs w:val="22"/>
        </w:rPr>
        <w:br/>
      </w:r>
      <w:r w:rsidR="0073099C" w:rsidRPr="00064B60">
        <w:rPr>
          <w:b/>
          <w:szCs w:val="22"/>
          <w:shd w:val="clear" w:color="auto" w:fill="FFFFFF"/>
        </w:rPr>
        <w:t>estimated ingestion and potential risk…</w:t>
      </w:r>
    </w:p>
    <w:p w:rsidR="00F3234D" w:rsidRPr="00F3234D" w:rsidRDefault="00F3234D" w:rsidP="00F3234D">
      <w:pPr>
        <w:spacing w:after="200" w:line="360" w:lineRule="auto"/>
        <w:jc w:val="both"/>
        <w:rPr>
          <w:rFonts w:eastAsia="Calibri"/>
        </w:rPr>
      </w:pPr>
      <w:r w:rsidRPr="00064B60">
        <w:rPr>
          <w:rFonts w:eastAsia="Calibri"/>
        </w:rPr>
        <w:t xml:space="preserve">Taking into account the fact </w:t>
      </w:r>
      <w:r w:rsidR="00C124B3" w:rsidRPr="00064B60">
        <w:rPr>
          <w:rFonts w:eastAsia="Calibri"/>
        </w:rPr>
        <w:t>that salty snack product</w:t>
      </w:r>
      <w:r w:rsidR="00052516" w:rsidRPr="00064B60">
        <w:rPr>
          <w:rFonts w:eastAsia="Calibri"/>
        </w:rPr>
        <w:t>s</w:t>
      </w:r>
      <w:r w:rsidRPr="00064B60">
        <w:rPr>
          <w:rFonts w:eastAsia="Calibri"/>
        </w:rPr>
        <w:t xml:space="preserve"> </w:t>
      </w:r>
      <w:r w:rsidR="00A14051" w:rsidRPr="00064B60">
        <w:rPr>
          <w:rFonts w:eastAsia="Calibri"/>
        </w:rPr>
        <w:t xml:space="preserve">analyzed in our study </w:t>
      </w:r>
      <w:r w:rsidR="00052516" w:rsidRPr="00064B60">
        <w:rPr>
          <w:rFonts w:eastAsia="Calibri"/>
        </w:rPr>
        <w:t>included</w:t>
      </w:r>
      <w:r w:rsidRPr="00064B60">
        <w:rPr>
          <w:rFonts w:eastAsia="Calibri"/>
        </w:rPr>
        <w:t xml:space="preserve"> a full range of different weights, from 20 grams to 250 grams, for</w:t>
      </w:r>
      <w:r w:rsidR="00A14051" w:rsidRPr="00064B60">
        <w:rPr>
          <w:rFonts w:eastAsia="Calibri"/>
        </w:rPr>
        <w:t xml:space="preserve"> calculations of tFA intake</w:t>
      </w:r>
      <w:r w:rsidRPr="00064B60">
        <w:rPr>
          <w:rFonts w:eastAsia="Calibri"/>
        </w:rPr>
        <w:t xml:space="preserve"> an average </w:t>
      </w:r>
      <w:r w:rsidR="00A14051" w:rsidRPr="00064B60">
        <w:rPr>
          <w:rFonts w:eastAsia="Calibri"/>
        </w:rPr>
        <w:t xml:space="preserve">weight of 100 grams </w:t>
      </w:r>
      <w:r w:rsidRPr="00064B60">
        <w:rPr>
          <w:rFonts w:eastAsia="Calibri"/>
        </w:rPr>
        <w:t>was taken</w:t>
      </w:r>
      <w:r w:rsidR="002F60EC" w:rsidRPr="00064B60">
        <w:rPr>
          <w:rFonts w:eastAsia="Calibri"/>
        </w:rPr>
        <w:t>.</w:t>
      </w:r>
    </w:p>
    <w:p w:rsidR="0073099C" w:rsidRDefault="0073099C" w:rsidP="0073099C">
      <w:pPr>
        <w:spacing w:after="200" w:line="360" w:lineRule="auto"/>
        <w:jc w:val="both"/>
        <w:rPr>
          <w:rFonts w:eastAsia="Calibri"/>
          <w:b/>
          <w:sz w:val="28"/>
        </w:rPr>
      </w:pPr>
    </w:p>
    <w:p w:rsidR="0039775E" w:rsidRPr="0039775E" w:rsidRDefault="0039775E" w:rsidP="0073099C">
      <w:pPr>
        <w:spacing w:after="200" w:line="360" w:lineRule="auto"/>
        <w:jc w:val="both"/>
        <w:rPr>
          <w:rFonts w:eastAsia="Calibri"/>
          <w:b/>
          <w:sz w:val="28"/>
        </w:rPr>
      </w:pPr>
      <w:bookmarkStart w:id="0" w:name="_GoBack"/>
      <w:bookmarkEnd w:id="0"/>
      <w:r w:rsidRPr="0039775E">
        <w:rPr>
          <w:rFonts w:eastAsia="Calibri"/>
          <w:b/>
          <w:sz w:val="28"/>
        </w:rPr>
        <w:t>All changes made in the manuscript are marked with red bold letters.</w:t>
      </w:r>
    </w:p>
    <w:p w:rsidR="0073099C" w:rsidRPr="0073099C" w:rsidRDefault="0073099C" w:rsidP="0073099C">
      <w:pPr>
        <w:spacing w:after="200" w:line="360" w:lineRule="auto"/>
        <w:jc w:val="both"/>
        <w:rPr>
          <w:rFonts w:eastAsia="Calibri"/>
          <w:b/>
          <w:sz w:val="28"/>
        </w:rPr>
      </w:pPr>
    </w:p>
    <w:p w:rsidR="0073099C" w:rsidRDefault="0073099C" w:rsidP="0073099C">
      <w:pPr>
        <w:autoSpaceDE w:val="0"/>
        <w:autoSpaceDN w:val="0"/>
        <w:adjustRightInd w:val="0"/>
        <w:spacing w:line="360" w:lineRule="auto"/>
        <w:rPr>
          <w:rFonts w:eastAsia="AdvGulliv-R"/>
        </w:rPr>
      </w:pPr>
    </w:p>
    <w:p w:rsidR="0073099C" w:rsidRPr="0073099C" w:rsidRDefault="0073099C" w:rsidP="0073099C">
      <w:pPr>
        <w:autoSpaceDE w:val="0"/>
        <w:autoSpaceDN w:val="0"/>
        <w:adjustRightInd w:val="0"/>
        <w:spacing w:line="360" w:lineRule="auto"/>
        <w:rPr>
          <w:rFonts w:eastAsia="AdvGulliv-R"/>
        </w:rPr>
      </w:pPr>
    </w:p>
    <w:p w:rsidR="00CC5B19" w:rsidRPr="00C673AB" w:rsidRDefault="00CC5B19" w:rsidP="00C673AB">
      <w:pPr>
        <w:pStyle w:val="Default"/>
        <w:spacing w:line="360" w:lineRule="auto"/>
        <w:rPr>
          <w:rFonts w:ascii="Times New Roman" w:hAnsi="Times New Roman" w:cs="Times New Roman"/>
          <w:b/>
          <w:color w:val="auto"/>
          <w:lang w:val="en-US"/>
        </w:rPr>
      </w:pPr>
    </w:p>
    <w:p w:rsidR="00626A62" w:rsidRPr="00C673AB" w:rsidRDefault="00626A62" w:rsidP="00C673AB">
      <w:pPr>
        <w:pStyle w:val="Default"/>
        <w:spacing w:line="360" w:lineRule="auto"/>
        <w:rPr>
          <w:rFonts w:ascii="Times New Roman" w:hAnsi="Times New Roman" w:cs="Times New Roman"/>
          <w:color w:val="auto"/>
          <w:lang w:val="en-US"/>
        </w:rPr>
      </w:pPr>
    </w:p>
    <w:p w:rsidR="00626A62" w:rsidRPr="00C673AB" w:rsidRDefault="00626A62" w:rsidP="00C673AB">
      <w:pPr>
        <w:spacing w:line="360" w:lineRule="auto"/>
      </w:pPr>
    </w:p>
    <w:sectPr w:rsidR="00626A62" w:rsidRPr="00C673AB" w:rsidSect="009614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DCLI D+ Adv O Te 94fe 8f 8">
    <w:altName w:val="Times New Roman"/>
    <w:panose1 w:val="00000000000000000000"/>
    <w:charset w:val="00"/>
    <w:family w:val="roman"/>
    <w:notTrueType/>
    <w:pitch w:val="default"/>
    <w:sig w:usb0="00000003" w:usb1="00000000" w:usb2="00000000" w:usb3="00000000" w:csb0="00000001" w:csb1="00000000"/>
  </w:font>
  <w:font w:name="AdvGulliv-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BF1"/>
    <w:multiLevelType w:val="hybridMultilevel"/>
    <w:tmpl w:val="F6D2951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15259"/>
    <w:multiLevelType w:val="hybridMultilevel"/>
    <w:tmpl w:val="BEB0FD2A"/>
    <w:lvl w:ilvl="0" w:tplc="CA86EF6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5D6ECD"/>
    <w:multiLevelType w:val="hybridMultilevel"/>
    <w:tmpl w:val="98BE1608"/>
    <w:lvl w:ilvl="0" w:tplc="E7D0B00E">
      <w:start w:val="4"/>
      <w:numFmt w:val="decimal"/>
      <w:lvlText w:val="%1"/>
      <w:lvlJc w:val="left"/>
      <w:pPr>
        <w:ind w:left="720" w:hanging="360"/>
      </w:pPr>
      <w:rPr>
        <w:rFonts w:eastAsia="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D782A"/>
    <w:multiLevelType w:val="hybridMultilevel"/>
    <w:tmpl w:val="189EC89A"/>
    <w:lvl w:ilvl="0" w:tplc="7AC2C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F201C"/>
    <w:multiLevelType w:val="hybridMultilevel"/>
    <w:tmpl w:val="0DD280A2"/>
    <w:lvl w:ilvl="0" w:tplc="C6D8FA54">
      <w:start w:val="1"/>
      <w:numFmt w:val="decimal"/>
      <w:lvlText w:val="%1."/>
      <w:lvlJc w:val="left"/>
      <w:pPr>
        <w:ind w:left="720" w:hanging="360"/>
      </w:pPr>
      <w:rPr>
        <w:rFonts w:hint="default"/>
        <w:color w:val="21212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7D"/>
    <w:rsid w:val="00052516"/>
    <w:rsid w:val="00064B60"/>
    <w:rsid w:val="000B34C7"/>
    <w:rsid w:val="000D483B"/>
    <w:rsid w:val="000F1577"/>
    <w:rsid w:val="00206A6C"/>
    <w:rsid w:val="00236E57"/>
    <w:rsid w:val="002511E3"/>
    <w:rsid w:val="002D6053"/>
    <w:rsid w:val="002E579F"/>
    <w:rsid w:val="002F60EC"/>
    <w:rsid w:val="003170FF"/>
    <w:rsid w:val="00324BC8"/>
    <w:rsid w:val="00355B43"/>
    <w:rsid w:val="0037527B"/>
    <w:rsid w:val="0039775E"/>
    <w:rsid w:val="003A25DF"/>
    <w:rsid w:val="003C6610"/>
    <w:rsid w:val="00444B76"/>
    <w:rsid w:val="00475D8E"/>
    <w:rsid w:val="00497BC3"/>
    <w:rsid w:val="004E0FFF"/>
    <w:rsid w:val="004F03F7"/>
    <w:rsid w:val="004F5FE8"/>
    <w:rsid w:val="00512A6A"/>
    <w:rsid w:val="00530C39"/>
    <w:rsid w:val="0058055A"/>
    <w:rsid w:val="005C3764"/>
    <w:rsid w:val="0060026E"/>
    <w:rsid w:val="006178A6"/>
    <w:rsid w:val="006219B6"/>
    <w:rsid w:val="00626A62"/>
    <w:rsid w:val="006319E8"/>
    <w:rsid w:val="00660193"/>
    <w:rsid w:val="006A0A5D"/>
    <w:rsid w:val="006B7BA6"/>
    <w:rsid w:val="006D56A4"/>
    <w:rsid w:val="0073099C"/>
    <w:rsid w:val="007873B7"/>
    <w:rsid w:val="00797136"/>
    <w:rsid w:val="007C190A"/>
    <w:rsid w:val="008D02DB"/>
    <w:rsid w:val="00940EFC"/>
    <w:rsid w:val="00961410"/>
    <w:rsid w:val="00970B4B"/>
    <w:rsid w:val="00A12F41"/>
    <w:rsid w:val="00A14051"/>
    <w:rsid w:val="00B40544"/>
    <w:rsid w:val="00B60637"/>
    <w:rsid w:val="00C124B3"/>
    <w:rsid w:val="00C673AB"/>
    <w:rsid w:val="00CC5B19"/>
    <w:rsid w:val="00CF69F0"/>
    <w:rsid w:val="00D04FB8"/>
    <w:rsid w:val="00D1290E"/>
    <w:rsid w:val="00D84F93"/>
    <w:rsid w:val="00DF7B1C"/>
    <w:rsid w:val="00E2572F"/>
    <w:rsid w:val="00E27C07"/>
    <w:rsid w:val="00E80936"/>
    <w:rsid w:val="00F31E73"/>
    <w:rsid w:val="00F3234D"/>
    <w:rsid w:val="00F4317D"/>
    <w:rsid w:val="00F8184C"/>
    <w:rsid w:val="00F9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A62"/>
    <w:pPr>
      <w:autoSpaceDE w:val="0"/>
      <w:autoSpaceDN w:val="0"/>
      <w:adjustRightInd w:val="0"/>
      <w:spacing w:after="0" w:line="240" w:lineRule="auto"/>
    </w:pPr>
    <w:rPr>
      <w:rFonts w:ascii="GDCLI D+ Adv O Te 94fe 8f 8" w:eastAsia="Calibri" w:hAnsi="GDCLI D+ Adv O Te 94fe 8f 8" w:cs="GDCLI D+ Adv O Te 94fe 8f 8"/>
      <w:color w:val="000000"/>
      <w:sz w:val="24"/>
      <w:szCs w:val="24"/>
      <w:lang w:val="sr-Latn-CS" w:eastAsia="sr-Latn-CS"/>
    </w:rPr>
  </w:style>
  <w:style w:type="paragraph" w:styleId="ListParagraph">
    <w:name w:val="List Paragraph"/>
    <w:basedOn w:val="Normal"/>
    <w:uiPriority w:val="34"/>
    <w:qFormat/>
    <w:rsid w:val="00626A62"/>
    <w:pPr>
      <w:ind w:left="720"/>
      <w:contextualSpacing/>
    </w:pPr>
  </w:style>
  <w:style w:type="character" w:styleId="Hyperlink">
    <w:name w:val="Hyperlink"/>
    <w:basedOn w:val="DefaultParagraphFont"/>
    <w:uiPriority w:val="99"/>
    <w:unhideWhenUsed/>
    <w:rsid w:val="00C12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A62"/>
    <w:pPr>
      <w:autoSpaceDE w:val="0"/>
      <w:autoSpaceDN w:val="0"/>
      <w:adjustRightInd w:val="0"/>
      <w:spacing w:after="0" w:line="240" w:lineRule="auto"/>
    </w:pPr>
    <w:rPr>
      <w:rFonts w:ascii="GDCLI D+ Adv O Te 94fe 8f 8" w:eastAsia="Calibri" w:hAnsi="GDCLI D+ Adv O Te 94fe 8f 8" w:cs="GDCLI D+ Adv O Te 94fe 8f 8"/>
      <w:color w:val="000000"/>
      <w:sz w:val="24"/>
      <w:szCs w:val="24"/>
      <w:lang w:val="sr-Latn-CS" w:eastAsia="sr-Latn-CS"/>
    </w:rPr>
  </w:style>
  <w:style w:type="paragraph" w:styleId="ListParagraph">
    <w:name w:val="List Paragraph"/>
    <w:basedOn w:val="Normal"/>
    <w:uiPriority w:val="34"/>
    <w:qFormat/>
    <w:rsid w:val="00626A62"/>
    <w:pPr>
      <w:ind w:left="720"/>
      <w:contextualSpacing/>
    </w:pPr>
  </w:style>
  <w:style w:type="character" w:styleId="Hyperlink">
    <w:name w:val="Hyperlink"/>
    <w:basedOn w:val="DefaultParagraphFont"/>
    <w:uiPriority w:val="99"/>
    <w:unhideWhenUsed/>
    <w:rsid w:val="00C1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St._Louis,_Missou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3A97-B894-485E-A76D-568DFE14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Farmaceutski fakultet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Timic</dc:creator>
  <cp:lastModifiedBy>Jasmina Timic</cp:lastModifiedBy>
  <cp:revision>3</cp:revision>
  <dcterms:created xsi:type="dcterms:W3CDTF">2018-04-02T10:15:00Z</dcterms:created>
  <dcterms:modified xsi:type="dcterms:W3CDTF">2018-04-02T10:34:00Z</dcterms:modified>
</cp:coreProperties>
</file>