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08" w:rsidRPr="00BB65F5" w:rsidRDefault="007A7D08" w:rsidP="0079319F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en-US" w:eastAsia="fr-FR"/>
        </w:rPr>
      </w:pPr>
      <w:r w:rsidRPr="00BB65F5">
        <w:rPr>
          <w:rFonts w:asciiTheme="majorBidi" w:eastAsiaTheme="minorEastAsia" w:hAnsiTheme="majorBidi" w:cstheme="majorBidi"/>
          <w:b/>
          <w:bCs/>
          <w:sz w:val="28"/>
          <w:szCs w:val="28"/>
          <w:lang w:val="en-US" w:eastAsia="fr-FR" w:bidi="ar-DZ"/>
        </w:rPr>
        <w:t xml:space="preserve">RESPONSES FOR REVIEWER </w:t>
      </w:r>
      <w:r w:rsidRPr="00BB65F5">
        <w:rPr>
          <w:rFonts w:asciiTheme="majorBidi" w:eastAsiaTheme="minorEastAsia" w:hAnsiTheme="majorBidi" w:cstheme="majorBidi"/>
          <w:b/>
          <w:bCs/>
          <w:sz w:val="28"/>
          <w:szCs w:val="28"/>
          <w:lang w:val="en-US" w:eastAsia="fr-FR"/>
        </w:rPr>
        <w:t>#</w:t>
      </w:r>
      <w:r w:rsidRPr="00BB65F5">
        <w:rPr>
          <w:rFonts w:asciiTheme="majorBidi" w:eastAsiaTheme="minorEastAsia" w:hAnsiTheme="majorBidi" w:cstheme="majorBidi"/>
          <w:b/>
          <w:bCs/>
          <w:sz w:val="28"/>
          <w:szCs w:val="28"/>
          <w:lang w:val="en-US" w:eastAsia="fr-FR" w:bidi="ar-DZ"/>
        </w:rPr>
        <w:t>B</w:t>
      </w: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 w:eastAsia="fr-FR" w:bidi="ar-DZ"/>
        </w:rPr>
      </w:pP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 w:eastAsia="fr-FR" w:bidi="ar-DZ"/>
        </w:rPr>
      </w:pPr>
      <w:r w:rsidRPr="00BB65F5">
        <w:rPr>
          <w:rFonts w:asciiTheme="majorBidi" w:eastAsiaTheme="minorEastAsia" w:hAnsiTheme="majorBidi" w:cstheme="majorBidi"/>
          <w:sz w:val="24"/>
          <w:szCs w:val="24"/>
          <w:lang w:val="en-US" w:eastAsia="fr-FR" w:bidi="ar-DZ"/>
        </w:rPr>
        <w:t>We would like to thank you for your comments and criticisms. We appreciate your collaboration concerning our manuscript.</w:t>
      </w: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 w:eastAsia="fr-FR"/>
        </w:rPr>
      </w:pP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We have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carefully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revised the manuscript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 xml:space="preserve"> based on your comments and we believe that many improvements have been made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.</w:t>
      </w: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 w:eastAsia="fr-FR" w:bidi="ar-DZ"/>
        </w:rPr>
      </w:pPr>
      <w:r w:rsidRPr="00BB65F5">
        <w:rPr>
          <w:rFonts w:asciiTheme="majorBidi" w:eastAsiaTheme="minorEastAsia" w:hAnsiTheme="majorBidi" w:cstheme="majorBidi"/>
          <w:sz w:val="24"/>
          <w:szCs w:val="24"/>
          <w:lang w:val="en-US" w:eastAsia="fr-FR" w:bidi="ar-DZ"/>
        </w:rPr>
        <w:t>Answers to your comments are detailed bellow.</w:t>
      </w:r>
    </w:p>
    <w:p w:rsidR="007A7D08" w:rsidRPr="00BB65F5" w:rsidRDefault="007A7D08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lang w:val="en-US" w:eastAsia="fr-FR"/>
        </w:rPr>
      </w:pPr>
    </w:p>
    <w:p w:rsidR="00950B9E" w:rsidRPr="00BB65F5" w:rsidRDefault="008078BD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QUESTION 1</w:t>
      </w:r>
    </w:p>
    <w:p w:rsidR="00950B9E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Comment 3</w:t>
      </w:r>
    </w:p>
    <w:p w:rsidR="00950B9E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Line 90: Are you sure of this? Many references indicate that the shoulder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peak is attributed to direct oxidation of Sn to Sn 4+. Moreover, the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intensity of this peak (involved charge) indicate that the layer of </w:t>
      </w:r>
      <w:proofErr w:type="spellStart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CuSn</w:t>
      </w:r>
      <w:proofErr w:type="spellEnd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should be very thick and, thus, the diffusion of Sn in Cu lattice is easy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even with a low applied potential.</w:t>
      </w:r>
    </w:p>
    <w:p w:rsidR="00950B9E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Answer 3</w:t>
      </w:r>
    </w:p>
    <w:p w:rsidR="00950B9E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Yes, some references attributed the shoulder to the oxidation of Sn to Sn+4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especially in sulfate baths. However, there is no confirmation about this.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Furthermore, the potential standard of Sn2+/Sn4+ is subject to divergence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[1,2]. Other authors attributed the shoulder to the oxidation of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intermetallic </w:t>
      </w:r>
      <w:proofErr w:type="spellStart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CuSn</w:t>
      </w:r>
      <w:proofErr w:type="spellEnd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phases (Cu6Sn5) metallic tin compounds [3,4,5]. Oxidation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potential of Cu6Sn5 should be occurs between those of oxidation potential of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tin metal (</w:t>
      </w:r>
      <w:r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7E"/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-0.45 V) and the oxidation potential of copper metal (-0.1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V). This was verified on CV </w:t>
      </w:r>
      <w:proofErr w:type="spellStart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voltammograms</w:t>
      </w:r>
      <w:proofErr w:type="spellEnd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(Oxidation potential of Cu6Sn5 is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7E"/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-0.2 V). DRX analysis confirms also the formation of Cu6Sn5. For this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consideration, we rather accept that the shoulder corresponds to the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oxidation of Cu6Sn5 than to the direct oxidation of Sn to Sn 4+.</w:t>
      </w:r>
    </w:p>
    <w:p w:rsidR="0079319F" w:rsidRPr="00BB65F5" w:rsidRDefault="00950B9E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[1]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Tama´s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Gajda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Pa´l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Sipos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Heinz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Gamsja¨ger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Monatsh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Chem</w:t>
      </w:r>
      <w:proofErr w:type="spellEnd"/>
      <w:r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. 140(2009)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1293</w:t>
      </w:r>
    </w:p>
    <w:p w:rsidR="00950B9E" w:rsidRPr="00BB65F5" w:rsidRDefault="00A858BC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" w:tgtFrame="_blank" w:history="1">
        <w:r w:rsidR="005B7203" w:rsidRPr="00BB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http://dx.doi.org/10.1007/s00706-009-0188-5</w:t>
        </w:r>
      </w:hyperlink>
      <w:r w:rsidR="00950B9E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[2]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A.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Collazo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al, Surf &amp;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Caot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Technol. 280 (2015) 8 </w:t>
      </w:r>
    </w:p>
    <w:p w:rsidR="00950B9E" w:rsidRPr="00BB65F5" w:rsidRDefault="00A858BC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="005B7203" w:rsidRPr="00BB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http://dx.doi.org/10.1016/j.surfcoat.2015.08.052</w:t>
        </w:r>
      </w:hyperlink>
      <w:r w:rsidR="00950B9E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[3]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Rudnik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J.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Electroanal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Chem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. 726 (2014)</w:t>
      </w:r>
    </w:p>
    <w:p w:rsidR="0079319F" w:rsidRPr="00BB65F5" w:rsidRDefault="00A858BC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" w:tgtFrame="_blank" w:history="1">
        <w:r w:rsidR="005B7203" w:rsidRPr="00BB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http://dx.doi.org/10.1016/j.jelechem.2014.05.021</w:t>
        </w:r>
      </w:hyperlink>
      <w:r w:rsidR="00950B9E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[4]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C. </w:t>
      </w:r>
      <w:proofErr w:type="spell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Meudre</w:t>
      </w:r>
      <w:proofErr w:type="spell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J. Mater. 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Environ. Sci.7 (2015) 1834 </w:t>
      </w:r>
      <w:proofErr w:type="gramStart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ISSN :</w:t>
      </w:r>
      <w:proofErr w:type="gramEnd"/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1503-1755 </w:t>
      </w:r>
    </w:p>
    <w:p w:rsidR="0079319F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[5] F. C. Walsh, C.T. J. Low, Surf &amp; Coat. Technol. 304 (2016) 246-262 </w:t>
      </w:r>
    </w:p>
    <w:p w:rsidR="00D52649" w:rsidRPr="00BB65F5" w:rsidRDefault="00A858BC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hyperlink r:id="rId7" w:tgtFrame="_blank" w:history="1">
        <w:r w:rsidR="005B7203" w:rsidRPr="00BB6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http://dx.doi.org/10.1016/j.surfacoat.2016.06.065</w:t>
        </w:r>
      </w:hyperlink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Please, review the references, You have indicate references which make a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electrodeposition of Sn-Cu layers using Cu(II) solution and Sn(II) solution,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not using a metallic copper substrate as in your work, so in these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references a thick layer of metallic compound is obtained and stripping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appear at anodic scan. Please provide a reference to identify the peaks and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revise the discussion of results accordingly.</w:t>
      </w:r>
    </w:p>
    <w:p w:rsidR="00867EE1" w:rsidRDefault="00867EE1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A858BC" w:rsidRPr="00BB65F5" w:rsidRDefault="00A858BC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79319F" w:rsidRPr="00BB65F5" w:rsidRDefault="008078BD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REPLY 1</w:t>
      </w:r>
    </w:p>
    <w:p w:rsidR="00492A6B" w:rsidRPr="00BB65F5" w:rsidRDefault="00097CE6" w:rsidP="0079319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We have taken all </w:t>
      </w:r>
      <w:r w:rsidR="00950B9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the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time to understand your point of view for this point. </w:t>
      </w:r>
      <w:r w:rsidR="001D0DD0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Effectively, i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 seems that </w:t>
      </w:r>
      <w:r w:rsidR="00BB5DC6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XRD</w:t>
      </w:r>
      <w:r w:rsidR="00757F6A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results </w:t>
      </w:r>
      <w:r w:rsidR="00950B9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we have obtained cannot be used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to attribute the shoulder for the dissolution of </w:t>
      </w:r>
      <w:r w:rsidR="00950B9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copper-tin </w:t>
      </w:r>
      <w:r w:rsidR="00BB5DC6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intermetallic </w:t>
      </w:r>
      <w:r w:rsidR="00950B9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compounds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. We have arrived at the </w:t>
      </w:r>
      <w:r w:rsidR="001D0DD0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same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conclusion </w:t>
      </w:r>
      <w:r w:rsidR="001D0DD0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proposed by </w:t>
      </w:r>
      <w:r w:rsidR="00950B9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some literature</w:t>
      </w:r>
      <w:r w:rsidR="001A4F2A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BB5DC6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which </w:t>
      </w:r>
      <w:r w:rsidR="001A4F2A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attributed the shoulder to the oxidation of Sn</w:t>
      </w:r>
      <w:r w:rsidR="00273371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1A4F2A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to Sn</w:t>
      </w:r>
      <w:r w:rsidR="001A4F2A" w:rsidRPr="00BB65F5">
        <w:rPr>
          <w:rFonts w:asciiTheme="majorBidi" w:eastAsia="Times New Roman" w:hAnsiTheme="majorBidi" w:cstheme="majorBidi"/>
          <w:sz w:val="24"/>
          <w:szCs w:val="24"/>
          <w:vertAlign w:val="superscript"/>
          <w:lang w:val="en-US" w:eastAsia="fr-FR"/>
        </w:rPr>
        <w:t>+4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vertAlign w:val="superscript"/>
          <w:lang w:val="en-US" w:eastAsia="fr-FR"/>
        </w:rPr>
        <w:t xml:space="preserve"> </w:t>
      </w:r>
      <w:r w:rsidR="008B4063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[1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]. </w:t>
      </w:r>
      <w:r w:rsidR="001D0DD0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We think that E-pH diagrams also support this explanation. 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In </w:t>
      </w:r>
      <w:r w:rsidR="00B93F7B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the 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Round 2 </w:t>
      </w:r>
      <w:r w:rsidR="001D0DD0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revised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manuscript</w:t>
      </w:r>
      <w:r w:rsidR="00B93F7B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,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we </w:t>
      </w:r>
      <w:r w:rsidR="00950B9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have 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revised </w:t>
      </w:r>
      <w:r w:rsidR="001D0DD0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this</w:t>
      </w:r>
      <w:r w:rsidR="00097BEE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discussion </w:t>
      </w:r>
      <w:r w:rsidR="001A4F2A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as follows:</w:t>
      </w:r>
      <w:r w:rsidR="001A4F2A" w:rsidRPr="00BB6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B4063" w:rsidRPr="00BB65F5" w:rsidRDefault="008B406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492A6B" w:rsidRPr="00BB65F5" w:rsidRDefault="00950B9E" w:rsidP="0079319F">
      <w:pPr>
        <w:tabs>
          <w:tab w:val="center" w:pos="4536"/>
          <w:tab w:val="right" w:pos="9071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BB65F5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OLD </w:t>
      </w:r>
      <w:r w:rsidRPr="00BB65F5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t>paragraph</w:t>
      </w:r>
    </w:p>
    <w:p w:rsidR="00492A6B" w:rsidRPr="00BB65F5" w:rsidRDefault="00492A6B" w:rsidP="0079319F">
      <w:pPr>
        <w:tabs>
          <w:tab w:val="center" w:pos="4536"/>
          <w:tab w:val="right" w:pos="9071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val="en-GB"/>
        </w:rPr>
      </w:pPr>
      <w:r w:rsidRPr="00BB65F5">
        <w:rPr>
          <w:rFonts w:asciiTheme="majorBidi" w:hAnsiTheme="majorBidi" w:cstheme="majorBidi"/>
          <w:sz w:val="24"/>
          <w:szCs w:val="24"/>
          <w:lang w:val="en-GB"/>
        </w:rPr>
        <w:t>The small shoulder following the anodic peak at -0.2 V can be attributed to the dissolution of tin-copper compound</w:t>
      </w:r>
      <w:r w:rsidRPr="00BB65F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33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 xml:space="preserve">. The anodic peak current observed at -0.1 V corresponds to the oxidation of copper substrate. Moreover, the hysteresis recorded during the return scan of </w:t>
      </w:r>
      <w:proofErr w:type="spellStart"/>
      <w:r w:rsidRPr="00BB65F5">
        <w:rPr>
          <w:rFonts w:asciiTheme="majorBidi" w:hAnsiTheme="majorBidi" w:cstheme="majorBidi"/>
          <w:sz w:val="24"/>
          <w:szCs w:val="24"/>
          <w:lang w:val="en-GB"/>
        </w:rPr>
        <w:t>voltammograms</w:t>
      </w:r>
      <w:proofErr w:type="spellEnd"/>
      <w:r w:rsidRPr="00BB65F5">
        <w:rPr>
          <w:rFonts w:asciiTheme="majorBidi" w:hAnsiTheme="majorBidi" w:cstheme="majorBidi"/>
          <w:sz w:val="24"/>
          <w:szCs w:val="24"/>
          <w:lang w:val="en-GB"/>
        </w:rPr>
        <w:t xml:space="preserve"> (Fig. 1) is a characteristic of a three-dimensional (3D) nucleation process. The XRD spectra (Fig.2) confirm that the deposits were mainly consisted of tin metal with the presence of Cu</w:t>
      </w:r>
      <w:r w:rsidRPr="00BB65F5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6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Sn</w:t>
      </w:r>
      <w:r w:rsidRPr="00BB65F5">
        <w:rPr>
          <w:rFonts w:asciiTheme="majorBidi" w:hAnsiTheme="majorBidi" w:cstheme="majorBidi"/>
          <w:sz w:val="24"/>
          <w:szCs w:val="24"/>
          <w:vertAlign w:val="subscript"/>
          <w:lang w:val="en-GB"/>
        </w:rPr>
        <w:t xml:space="preserve">5 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phase. This later indicated a solid solution formed between tin and copper substrate. The shoulder observed on CV curve most likely corresponds to the dissolution of Cu</w:t>
      </w:r>
      <w:r w:rsidRPr="00BB65F5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6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Sn</w:t>
      </w:r>
      <w:r w:rsidRPr="00BB65F5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5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BB65F5">
        <w:rPr>
          <w:rFonts w:asciiTheme="majorBidi" w:hAnsiTheme="majorBidi" w:cstheme="majorBidi"/>
          <w:strike/>
          <w:sz w:val="24"/>
          <w:szCs w:val="24"/>
          <w:lang w:val="en-GB"/>
        </w:rPr>
        <w:t xml:space="preserve"> </w:t>
      </w:r>
    </w:p>
    <w:p w:rsidR="00492A6B" w:rsidRPr="00BB65F5" w:rsidRDefault="00492A6B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:rsidR="00492A6B" w:rsidRPr="00BB65F5" w:rsidRDefault="00492A6B" w:rsidP="0079319F">
      <w:pPr>
        <w:tabs>
          <w:tab w:val="center" w:pos="4536"/>
          <w:tab w:val="right" w:pos="9071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BB65F5">
        <w:rPr>
          <w:rFonts w:asciiTheme="majorBidi" w:hAnsiTheme="majorBidi" w:cstheme="majorBidi"/>
          <w:sz w:val="24"/>
          <w:szCs w:val="24"/>
          <w:u w:val="single"/>
          <w:lang w:val="en-GB"/>
        </w:rPr>
        <w:t>NEW</w:t>
      </w:r>
      <w:r w:rsidR="00950B9E" w:rsidRPr="00BB65F5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</w:t>
      </w:r>
      <w:r w:rsidR="00950B9E" w:rsidRPr="00BB65F5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t>paragraph</w:t>
      </w:r>
    </w:p>
    <w:p w:rsidR="00D91875" w:rsidRPr="00BB65F5" w:rsidRDefault="00D91875" w:rsidP="00D91875">
      <w:pPr>
        <w:tabs>
          <w:tab w:val="center" w:pos="4536"/>
          <w:tab w:val="right" w:pos="9071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  <w:lang w:val="en-GB"/>
        </w:rPr>
      </w:pPr>
      <w:r w:rsidRPr="00BB65F5">
        <w:rPr>
          <w:rFonts w:asciiTheme="majorBidi" w:hAnsiTheme="majorBidi" w:cstheme="majorBidi"/>
          <w:sz w:val="24"/>
          <w:szCs w:val="24"/>
          <w:lang w:val="en-GB"/>
        </w:rPr>
        <w:lastRenderedPageBreak/>
        <w:t>The small shoulder following the anodic peak at -0.2 V can be attributed to the oxidation of Sn to Sn</w:t>
      </w:r>
      <w:r w:rsidRPr="00BB65F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4+ 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 xml:space="preserve">[1]. The anodic peak current observed at -0.1 V corresponds to the oxidation of copper substrate. Moreover, the hysteresis recorded during the return scan of </w:t>
      </w:r>
      <w:proofErr w:type="spellStart"/>
      <w:r w:rsidRPr="00BB65F5">
        <w:rPr>
          <w:rFonts w:asciiTheme="majorBidi" w:hAnsiTheme="majorBidi" w:cstheme="majorBidi"/>
          <w:sz w:val="24"/>
          <w:szCs w:val="24"/>
          <w:lang w:val="en-GB"/>
        </w:rPr>
        <w:t>voltammograms</w:t>
      </w:r>
      <w:proofErr w:type="spellEnd"/>
      <w:r w:rsidRPr="00BB65F5">
        <w:rPr>
          <w:rFonts w:asciiTheme="majorBidi" w:hAnsiTheme="majorBidi" w:cstheme="majorBidi"/>
          <w:sz w:val="24"/>
          <w:szCs w:val="24"/>
          <w:lang w:val="en-GB"/>
        </w:rPr>
        <w:t xml:space="preserve"> (Fig. 1) is a characteristic of a three-dimensional (3D) nucleation process. The XRD spectra (Fig.2) confirm that the deposits were mainly consisted of tin metal with the presence of Cu</w:t>
      </w:r>
      <w:r w:rsidRPr="00BB65F5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6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Sn</w:t>
      </w:r>
      <w:r w:rsidRPr="00BB65F5">
        <w:rPr>
          <w:rFonts w:asciiTheme="majorBidi" w:hAnsiTheme="majorBidi" w:cstheme="majorBidi"/>
          <w:sz w:val="24"/>
          <w:szCs w:val="24"/>
          <w:vertAlign w:val="subscript"/>
          <w:lang w:val="en-GB"/>
        </w:rPr>
        <w:t xml:space="preserve">5 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 xml:space="preserve">phase. </w:t>
      </w:r>
    </w:p>
    <w:p w:rsidR="00492A6B" w:rsidRPr="00BB65F5" w:rsidRDefault="00492A6B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:rsidR="00065C43" w:rsidRPr="00BB65F5" w:rsidRDefault="00065C43" w:rsidP="00D9187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BB65F5">
        <w:rPr>
          <w:rFonts w:asciiTheme="majorBidi" w:hAnsiTheme="majorBidi" w:cstheme="majorBidi"/>
        </w:rPr>
        <w:t>[</w:t>
      </w:r>
      <w:r w:rsidR="008B4063" w:rsidRPr="00BB65F5">
        <w:rPr>
          <w:rFonts w:asciiTheme="majorBidi" w:hAnsiTheme="majorBidi" w:cstheme="majorBidi"/>
        </w:rPr>
        <w:t>1</w:t>
      </w:r>
      <w:r w:rsidRPr="00BB65F5">
        <w:rPr>
          <w:rFonts w:asciiTheme="majorBidi" w:hAnsiTheme="majorBidi" w:cstheme="majorBidi"/>
        </w:rPr>
        <w:t xml:space="preserve">] H. M. </w:t>
      </w:r>
      <w:proofErr w:type="spellStart"/>
      <w:r w:rsidRPr="00BB65F5">
        <w:rPr>
          <w:rFonts w:asciiTheme="majorBidi" w:hAnsiTheme="majorBidi" w:cstheme="majorBidi"/>
        </w:rPr>
        <w:t>Maltanava</w:t>
      </w:r>
      <w:proofErr w:type="spellEnd"/>
      <w:r w:rsidRPr="00BB65F5">
        <w:rPr>
          <w:rFonts w:asciiTheme="majorBidi" w:hAnsiTheme="majorBidi" w:cstheme="majorBidi"/>
        </w:rPr>
        <w:t xml:space="preserve">, T. N. </w:t>
      </w:r>
      <w:proofErr w:type="spellStart"/>
      <w:r w:rsidRPr="00BB65F5">
        <w:rPr>
          <w:rFonts w:asciiTheme="majorBidi" w:hAnsiTheme="majorBidi" w:cstheme="majorBidi"/>
        </w:rPr>
        <w:t>Vorobyova</w:t>
      </w:r>
      <w:proofErr w:type="spellEnd"/>
      <w:r w:rsidRPr="00BB65F5">
        <w:rPr>
          <w:rFonts w:asciiTheme="majorBidi" w:hAnsiTheme="majorBidi" w:cstheme="majorBidi"/>
        </w:rPr>
        <w:t xml:space="preserve">, O. N. </w:t>
      </w:r>
      <w:proofErr w:type="spellStart"/>
      <w:r w:rsidRPr="00BB65F5">
        <w:rPr>
          <w:rFonts w:asciiTheme="majorBidi" w:hAnsiTheme="majorBidi" w:cstheme="majorBidi"/>
        </w:rPr>
        <w:t>Vrublevskaya</w:t>
      </w:r>
      <w:proofErr w:type="spellEnd"/>
      <w:r w:rsidRPr="00BB65F5">
        <w:rPr>
          <w:rFonts w:asciiTheme="majorBidi" w:hAnsiTheme="majorBidi" w:cstheme="majorBidi"/>
        </w:rPr>
        <w:t xml:space="preserve">, </w:t>
      </w:r>
      <w:r w:rsidRPr="00BB65F5">
        <w:rPr>
          <w:rFonts w:asciiTheme="majorBidi" w:hAnsiTheme="majorBidi" w:cstheme="majorBidi"/>
          <w:i/>
          <w:iCs/>
        </w:rPr>
        <w:t xml:space="preserve">Surf. </w:t>
      </w:r>
      <w:r w:rsidRPr="00BB65F5">
        <w:rPr>
          <w:rFonts w:asciiTheme="majorBidi" w:hAnsiTheme="majorBidi" w:cstheme="majorBidi"/>
          <w:i/>
          <w:iCs/>
          <w:lang w:val="en-GB"/>
        </w:rPr>
        <w:t>Coat. Technol</w:t>
      </w:r>
      <w:r w:rsidRPr="00BB65F5">
        <w:rPr>
          <w:rFonts w:asciiTheme="majorBidi" w:hAnsiTheme="majorBidi" w:cstheme="majorBidi"/>
          <w:lang w:val="en-GB"/>
        </w:rPr>
        <w:t xml:space="preserve">. </w:t>
      </w:r>
      <w:r w:rsidRPr="00BB65F5">
        <w:rPr>
          <w:rFonts w:asciiTheme="majorBidi" w:hAnsiTheme="majorBidi" w:cstheme="majorBidi"/>
          <w:b/>
          <w:bCs/>
          <w:lang w:val="en-GB"/>
        </w:rPr>
        <w:t>254</w:t>
      </w:r>
      <w:r w:rsidRPr="00BB65F5">
        <w:rPr>
          <w:rFonts w:asciiTheme="majorBidi" w:hAnsiTheme="majorBidi" w:cstheme="majorBidi"/>
          <w:lang w:val="en-GB"/>
        </w:rPr>
        <w:t xml:space="preserve"> (2014) 388 </w:t>
      </w:r>
      <w:hyperlink r:id="rId8" w:history="1">
        <w:r w:rsidRPr="00BB65F5">
          <w:rPr>
            <w:rStyle w:val="Lienhypertexte"/>
            <w:rFonts w:asciiTheme="majorBidi" w:hAnsiTheme="majorBidi" w:cstheme="majorBidi"/>
            <w:lang w:val="en-GB"/>
          </w:rPr>
          <w:t>http://dx.doi.org/10.1016/j.surfcoat.2014.06.04</w:t>
        </w:r>
      </w:hyperlink>
    </w:p>
    <w:p w:rsidR="00D91875" w:rsidRPr="00BB65F5" w:rsidRDefault="00D91875" w:rsidP="00D91875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65F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Remark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: The above reference [1] becomes reference [33] in the round 2 revised manuscript.</w:t>
      </w:r>
    </w:p>
    <w:p w:rsidR="00D91875" w:rsidRPr="00BB65F5" w:rsidRDefault="00D91875" w:rsidP="0079319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9853C7" w:rsidRPr="00BB65F5" w:rsidRDefault="00523224" w:rsidP="0079319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65F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QUESTION 2</w:t>
      </w:r>
    </w:p>
    <w:p w:rsidR="00523224" w:rsidRPr="00BB65F5" w:rsidRDefault="005B7203" w:rsidP="00793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Comment 6</w:t>
      </w:r>
    </w:p>
    <w:p w:rsidR="00523224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Line 110: In the test is indicated that the interaction of tin-TN making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reference to Figure 3, however it not show the spectra of TU and SO4 without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Sn, since, </w:t>
      </w:r>
      <w:proofErr w:type="spellStart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Tu</w:t>
      </w:r>
      <w:proofErr w:type="spellEnd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SO4 could to show abso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rbance at different wavelength.</w:t>
      </w:r>
    </w:p>
    <w:p w:rsidR="00523224" w:rsidRPr="00BB65F5" w:rsidRDefault="0079319F" w:rsidP="00793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Answer 6</w:t>
      </w:r>
    </w:p>
    <w:p w:rsidR="00523224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UV spectrum of TU and SO2-4 compared to that of TU only (Figure below)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does not show significant change upon 250 nm which indicates that changes in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Figure 3 is attributed to the i</w:t>
      </w:r>
      <w:r w:rsidR="001A4F2A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nteraction between tin and TU.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UV–vis absorption spectra of TU solution i</w:t>
      </w:r>
      <w:r w:rsidR="00523224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absence (black line) and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presence of H2SO4 (red line)</w:t>
      </w:r>
    </w:p>
    <w:p w:rsidR="00523224" w:rsidRPr="00BB65F5" w:rsidRDefault="001044C7" w:rsidP="00793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Question </w:t>
      </w:r>
      <w:r w:rsidR="00523224"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</w:t>
      </w:r>
    </w:p>
    <w:p w:rsidR="00523224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is very difficult to identify the attribution of the peaks. You indicated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“The addition of TU shows two new absorption bands at 226 nm and 239 nm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which could be assigned to intermolecular charge-transfer transition in TU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molecule”, however the UV–vis spectra of TU show the same peaks. Please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consider the revision of the peaks </w:t>
      </w:r>
      <w:r w:rsidR="00523224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attributions.</w:t>
      </w:r>
    </w:p>
    <w:p w:rsidR="00523224" w:rsidRPr="00BB65F5" w:rsidRDefault="001044C7" w:rsidP="00793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Question </w:t>
      </w:r>
      <w:r w:rsidR="00523224"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b</w:t>
      </w:r>
    </w:p>
    <w:p w:rsidR="0079319F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is the UV–vis spectra of H2SO4 without TU and without Sn(II)?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Moreover you indicate</w:t>
      </w:r>
      <w:r w:rsidR="00442B2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”A further, insight reveals a decreasing in the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shoulder absorbance with TU (as shown in the inset of Fig.3)”</w:t>
      </w:r>
    </w:p>
    <w:p w:rsidR="0079319F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shoulder was correlated with “ligand-to-metal charge transfer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transition in the [Sn(SO4)2] 2”</w:t>
      </w:r>
    </w:p>
    <w:p w:rsidR="00F943E4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the signal of Sn(SO4)2 disappear, How it can indicate a weak interaction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between tin ions and TU?</w:t>
      </w:r>
    </w:p>
    <w:p w:rsidR="00F943E4" w:rsidRPr="00BB65F5" w:rsidRDefault="00523224" w:rsidP="00793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n-US" w:eastAsia="fr-FR"/>
        </w:rPr>
        <w:lastRenderedPageBreak/>
        <w:t>Reply</w:t>
      </w: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2</w:t>
      </w:r>
    </w:p>
    <w:p w:rsidR="00D95265" w:rsidRPr="00BB65F5" w:rsidRDefault="00523224" w:rsidP="001E3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a)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04665C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Yes</w:t>
      </w:r>
      <w:r w:rsidR="008528C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04665C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UV-Vis spectra of TU and 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SnCl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+H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4</w:t>
      </w:r>
      <w:r w:rsidR="009853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+TU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solution</w:t>
      </w:r>
      <w:r w:rsidR="001E34F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4665C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show two same peaks at about 226 nm and 239 nm. </w:t>
      </w:r>
      <w:r w:rsidR="00F2550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8B406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</w:t>
      </w:r>
      <w:r w:rsidR="00F2550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two</w:t>
      </w:r>
      <w:r w:rsidR="00F2550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peaks </w:t>
      </w:r>
      <w:r w:rsidR="008B406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could be assigned</w:t>
      </w:r>
      <w:r w:rsidR="00F2550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</w:t>
      </w:r>
      <w:r w:rsidR="002841B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π- π*</w:t>
      </w:r>
      <w:r w:rsidR="008B406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transition</w:t>
      </w:r>
      <w:r w:rsidR="00F2550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4665C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TU</w:t>
      </w:r>
      <w:r w:rsidR="002841B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molecule</w:t>
      </w:r>
      <w:r w:rsidR="0079319F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E34F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[2</w:t>
      </w:r>
      <w:r w:rsidR="00D95265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E958A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044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D95265" w:rsidRPr="00BB65F5" w:rsidRDefault="001E34F6" w:rsidP="00043D05">
      <w:pPr>
        <w:spacing w:after="0" w:line="360" w:lineRule="auto"/>
        <w:rPr>
          <w:rFonts w:asciiTheme="majorBidi" w:eastAsia="Times New Roman" w:hAnsiTheme="majorBidi" w:cstheme="majorBidi"/>
          <w:i/>
          <w:iCs/>
          <w:lang w:val="en-US" w:eastAsia="fr-FR"/>
        </w:rPr>
      </w:pPr>
      <w:r w:rsidRPr="00BB65F5">
        <w:rPr>
          <w:rFonts w:asciiTheme="majorBidi" w:eastAsia="Times New Roman" w:hAnsiTheme="majorBidi" w:cstheme="majorBidi"/>
          <w:lang w:val="en-US" w:eastAsia="fr-FR"/>
        </w:rPr>
        <w:t>[2</w:t>
      </w:r>
      <w:r w:rsidR="00D95265" w:rsidRPr="00BB65F5">
        <w:rPr>
          <w:rFonts w:asciiTheme="majorBidi" w:eastAsia="Times New Roman" w:hAnsiTheme="majorBidi" w:cstheme="majorBidi"/>
          <w:lang w:val="en-US" w:eastAsia="fr-FR"/>
        </w:rPr>
        <w:t xml:space="preserve">] H. </w:t>
      </w:r>
      <w:proofErr w:type="spellStart"/>
      <w:r w:rsidR="00D95265" w:rsidRPr="00BB65F5">
        <w:rPr>
          <w:rFonts w:asciiTheme="majorBidi" w:eastAsia="Times New Roman" w:hAnsiTheme="majorBidi" w:cstheme="majorBidi"/>
          <w:lang w:val="en-US" w:eastAsia="fr-FR"/>
        </w:rPr>
        <w:t>Hosoya</w:t>
      </w:r>
      <w:proofErr w:type="spellEnd"/>
      <w:r w:rsidR="00D95265" w:rsidRPr="00BB65F5">
        <w:rPr>
          <w:rFonts w:asciiTheme="majorBidi" w:eastAsia="Times New Roman" w:hAnsiTheme="majorBidi" w:cstheme="majorBidi"/>
          <w:lang w:val="en-US" w:eastAsia="fr-FR"/>
        </w:rPr>
        <w:t>, J.</w:t>
      </w:r>
      <w:r w:rsidR="00043D05" w:rsidRPr="00BB65F5">
        <w:rPr>
          <w:rFonts w:asciiTheme="majorBidi" w:eastAsia="Times New Roman" w:hAnsiTheme="majorBidi" w:cstheme="majorBidi"/>
          <w:lang w:val="en-US" w:eastAsia="fr-FR"/>
        </w:rPr>
        <w:t xml:space="preserve"> </w:t>
      </w:r>
      <w:r w:rsidR="00D95265" w:rsidRPr="00BB65F5">
        <w:rPr>
          <w:rFonts w:asciiTheme="majorBidi" w:eastAsia="Times New Roman" w:hAnsiTheme="majorBidi" w:cstheme="majorBidi"/>
          <w:lang w:val="en-US" w:eastAsia="fr-FR"/>
        </w:rPr>
        <w:t xml:space="preserve">Tanaka and S. </w:t>
      </w:r>
      <w:proofErr w:type="spellStart"/>
      <w:r w:rsidR="00D95265" w:rsidRPr="00BB65F5">
        <w:rPr>
          <w:rFonts w:asciiTheme="majorBidi" w:eastAsia="Times New Roman" w:hAnsiTheme="majorBidi" w:cstheme="majorBidi"/>
          <w:lang w:val="en-US" w:eastAsia="fr-FR"/>
        </w:rPr>
        <w:t>Nagakura</w:t>
      </w:r>
      <w:proofErr w:type="spellEnd"/>
      <w:r w:rsidR="00D95265" w:rsidRPr="00BB65F5">
        <w:rPr>
          <w:rFonts w:asciiTheme="majorBidi" w:eastAsia="Times New Roman" w:hAnsiTheme="majorBidi" w:cstheme="majorBidi"/>
          <w:lang w:val="en-US" w:eastAsia="fr-FR"/>
        </w:rPr>
        <w:t>,</w:t>
      </w:r>
      <w:r w:rsidR="00D95265" w:rsidRPr="00BB65F5">
        <w:rPr>
          <w:rFonts w:asciiTheme="majorBidi" w:hAnsiTheme="majorBidi" w:cstheme="majorBidi"/>
          <w:lang w:val="en-US"/>
        </w:rPr>
        <w:t xml:space="preserve"> </w:t>
      </w:r>
      <w:r w:rsidR="00043D05" w:rsidRPr="00BB65F5">
        <w:rPr>
          <w:rFonts w:asciiTheme="majorBidi" w:hAnsiTheme="majorBidi" w:cstheme="majorBidi"/>
          <w:i/>
          <w:iCs/>
          <w:lang w:val="en-US"/>
        </w:rPr>
        <w:t>Bulletin of the Chemical Society of Japan</w:t>
      </w:r>
      <w:r w:rsidR="00043D05" w:rsidRPr="00BB65F5">
        <w:rPr>
          <w:rFonts w:asciiTheme="majorBidi" w:hAnsiTheme="majorBidi" w:cstheme="majorBidi"/>
          <w:lang w:val="en-US"/>
        </w:rPr>
        <w:t>,</w:t>
      </w:r>
      <w:r w:rsidR="00043D05" w:rsidRPr="00BB65F5">
        <w:rPr>
          <w:rFonts w:asciiTheme="majorBidi" w:eastAsia="Times New Roman" w:hAnsiTheme="majorBidi" w:cstheme="majorBidi"/>
          <w:lang w:val="en-US" w:eastAsia="fr-FR"/>
        </w:rPr>
        <w:t xml:space="preserve"> 33 </w:t>
      </w:r>
      <w:r w:rsidR="00D95265" w:rsidRPr="00BB65F5">
        <w:rPr>
          <w:rFonts w:asciiTheme="majorBidi" w:eastAsia="Times New Roman" w:hAnsiTheme="majorBidi" w:cstheme="majorBidi"/>
          <w:lang w:val="en-US" w:eastAsia="fr-FR"/>
        </w:rPr>
        <w:t>(1960)</w:t>
      </w:r>
      <w:r w:rsidR="003B1453" w:rsidRPr="00BB65F5">
        <w:rPr>
          <w:rFonts w:asciiTheme="majorBidi" w:eastAsia="Times New Roman" w:hAnsiTheme="majorBidi" w:cstheme="majorBidi"/>
          <w:lang w:val="en-US" w:eastAsia="fr-FR"/>
        </w:rPr>
        <w:t xml:space="preserve"> 850 (</w:t>
      </w:r>
      <w:hyperlink r:id="rId9" w:history="1">
        <w:r w:rsidR="003B1453" w:rsidRPr="00BB65F5">
          <w:rPr>
            <w:rFonts w:asciiTheme="majorBidi" w:hAnsiTheme="majorBidi" w:cstheme="majorBidi"/>
            <w:color w:val="0000FF"/>
            <w:u w:val="single"/>
            <w:lang w:val="en-US"/>
          </w:rPr>
          <w:t>https://doi.org/10.1246/bcsj.33.850</w:t>
        </w:r>
      </w:hyperlink>
      <w:r w:rsidR="003B1453" w:rsidRPr="00BB65F5">
        <w:rPr>
          <w:rFonts w:asciiTheme="majorBidi" w:hAnsiTheme="majorBidi" w:cstheme="majorBidi"/>
          <w:lang w:val="en-US"/>
        </w:rPr>
        <w:t>)</w:t>
      </w:r>
    </w:p>
    <w:p w:rsidR="001E34F6" w:rsidRPr="00BB65F5" w:rsidRDefault="001E34F6" w:rsidP="001E34F6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65F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Remark</w:t>
      </w:r>
      <w:r w:rsidRPr="00BB65F5">
        <w:rPr>
          <w:rFonts w:asciiTheme="majorBidi" w:hAnsiTheme="majorBidi" w:cstheme="majorBidi"/>
          <w:sz w:val="24"/>
          <w:szCs w:val="24"/>
          <w:lang w:val="en-GB"/>
        </w:rPr>
        <w:t>: The above reference [2] becomes reference [34] in the round 2 revised manuscript.</w:t>
      </w:r>
    </w:p>
    <w:p w:rsidR="00D95265" w:rsidRPr="00BB65F5" w:rsidRDefault="00D95265" w:rsidP="00793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F943E4" w:rsidRPr="00BB65F5" w:rsidRDefault="00F943E4" w:rsidP="00793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1044C7" w:rsidRPr="00BB65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b)</w:t>
      </w:r>
    </w:p>
    <w:p w:rsidR="00CC5663" w:rsidRPr="00BB65F5" w:rsidRDefault="0004665C" w:rsidP="00CC5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the Figure below, we presented the UV–vis spectra of H</w:t>
      </w:r>
      <w:r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</w:t>
      </w:r>
      <w:r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4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without TU and without Sn(II). It is </w:t>
      </w:r>
      <w:r w:rsidR="00BF751A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characterized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a peak at about 270 nm. </w:t>
      </w:r>
      <w:r w:rsidR="00BF751A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After addition of SnCl</w:t>
      </w:r>
      <w:r w:rsidR="00BF751A"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="00BF751A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absorbance of the peak decreases which </w:t>
      </w:r>
      <w:r w:rsidR="00CC566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probably </w:t>
      </w:r>
      <w:r w:rsidR="00BF751A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indicates the complexation between tin and sulfate ions.</w:t>
      </w:r>
    </w:p>
    <w:p w:rsidR="009907BD" w:rsidRPr="00BB65F5" w:rsidRDefault="009907BD" w:rsidP="00CC5663">
      <w:p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07BD" w:rsidRPr="00BB65F5" w:rsidRDefault="009907BD" w:rsidP="00F22E01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0FE1E64" wp14:editId="3FE0B580">
            <wp:extent cx="3265178" cy="2520000"/>
            <wp:effectExtent l="76200" t="57150" r="87630" b="128270"/>
            <wp:docPr id="2" name="Image 2" descr="D:\e\KESRI COMPLEXATION UV\Uv of Tin in all cas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KESRI COMPLEXATION UV\Uv of Tin in all case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8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4F2A" w:rsidRPr="00BB65F5" w:rsidRDefault="00CC5663" w:rsidP="00F22E01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UV-</w:t>
      </w:r>
      <w:r w:rsidR="00D41FF5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vis</w:t>
      </w:r>
      <w:r w:rsidR="005C4A36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spectra </w:t>
      </w:r>
      <w:r w:rsidR="001044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different </w:t>
      </w:r>
      <w:r w:rsidR="001044C7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solutions</w:t>
      </w:r>
    </w:p>
    <w:p w:rsidR="00D41FF5" w:rsidRPr="00BB65F5" w:rsidRDefault="00D41FF5" w:rsidP="00793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9319F" w:rsidRDefault="00291840" w:rsidP="00787E5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B65F5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2C3F3F" w:rsidRPr="00BB65F5">
        <w:rPr>
          <w:rFonts w:asciiTheme="majorBidi" w:hAnsiTheme="majorBidi" w:cstheme="majorBidi"/>
          <w:sz w:val="24"/>
          <w:szCs w:val="24"/>
          <w:lang w:val="en-US"/>
        </w:rPr>
        <w:t>fact,</w:t>
      </w:r>
      <w:r w:rsidRPr="00BB65F5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signal of Sn(SO</w:t>
      </w:r>
      <w:r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4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742D9" w:rsidRPr="00BB65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-</w:t>
      </w:r>
      <w:r w:rsidR="00CC5663" w:rsidRPr="00BB65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 w:rsidR="00CC5663" w:rsidRPr="00BB65F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="00CC566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does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 disappear</w:t>
      </w:r>
      <w:r w:rsidRPr="00BB65F5">
        <w:rPr>
          <w:rFonts w:asciiTheme="majorBidi" w:hAnsiTheme="majorBidi" w:cstheme="majorBidi"/>
          <w:sz w:val="24"/>
          <w:szCs w:val="24"/>
          <w:lang w:val="en-US"/>
        </w:rPr>
        <w:t xml:space="preserve">, its absorbance decreases with TU </w:t>
      </w:r>
      <w:r w:rsidR="00CC5663" w:rsidRPr="00BB65F5">
        <w:rPr>
          <w:rFonts w:asciiTheme="majorBidi" w:hAnsiTheme="majorBidi" w:cstheme="majorBidi"/>
          <w:sz w:val="24"/>
          <w:szCs w:val="24"/>
          <w:lang w:val="en-US"/>
        </w:rPr>
        <w:t>(as shown in the inset of Fig.3</w:t>
      </w:r>
      <w:r w:rsidRPr="00BB65F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9742D9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means that the possibility of coordination between tin ions and TU molecules by </w:t>
      </w:r>
      <w:r w:rsidR="002C3F3F" w:rsidRPr="00BB65F5">
        <w:rPr>
          <w:rFonts w:asciiTheme="majorBidi" w:hAnsiTheme="majorBidi" w:cstheme="majorBidi"/>
          <w:sz w:val="24"/>
          <w:szCs w:val="24"/>
          <w:lang w:val="en-US"/>
        </w:rPr>
        <w:t xml:space="preserve">a replacement of TU with sulfates ions. We agree with your remark, there is no need to speculate about the degree (strong or weak) of interaction </w:t>
      </w:r>
      <w:r w:rsidRPr="00BB65F5">
        <w:rPr>
          <w:rFonts w:asciiTheme="majorBidi" w:hAnsiTheme="majorBidi" w:cstheme="majorBidi"/>
          <w:sz w:val="24"/>
          <w:szCs w:val="24"/>
          <w:lang w:val="en-US"/>
        </w:rPr>
        <w:t>bet</w:t>
      </w:r>
      <w:r w:rsidR="002C3F3F" w:rsidRPr="00BB65F5">
        <w:rPr>
          <w:rFonts w:asciiTheme="majorBidi" w:hAnsiTheme="majorBidi" w:cstheme="majorBidi"/>
          <w:sz w:val="24"/>
          <w:szCs w:val="24"/>
          <w:lang w:val="en-US"/>
        </w:rPr>
        <w:t>ween tin ions and TU molecules</w:t>
      </w:r>
      <w:r w:rsidR="003B1453" w:rsidRPr="00BB65F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5B720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A858BC" w:rsidRPr="00BB65F5" w:rsidRDefault="00A858BC" w:rsidP="00787E5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C5663" w:rsidRPr="00BB65F5" w:rsidRDefault="009742D9" w:rsidP="00CC5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lastRenderedPageBreak/>
        <w:t>QUESTION 3</w:t>
      </w:r>
    </w:p>
    <w:p w:rsidR="00CC5663" w:rsidRPr="00BB65F5" w:rsidRDefault="005B7203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Reviewer A suggested, you have added the fitting curves to the </w:t>
      </w:r>
      <w:proofErr w:type="spellStart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Nyquist</w:t>
      </w:r>
      <w:proofErr w:type="spellEnd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plot, however, there are large deviation between experimental and fitted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curve for 0M of TU probably due to the use of an inadequate equivalent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circuit. Moreover the EIS fitting parameters </w:t>
      </w:r>
      <w:r w:rsidRPr="00BB65F5">
        <w:rPr>
          <w:rFonts w:ascii="Times New Roman" w:eastAsia="Times New Roman" w:hAnsi="Times New Roman" w:cs="Times New Roman"/>
          <w:sz w:val="24"/>
          <w:szCs w:val="24"/>
          <w:lang w:eastAsia="fr-FR"/>
        </w:rPr>
        <w:t>χ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 =228 so it is a very bad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fit. Please consider to use other equivalent circuit in this case and review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obtained result</w:t>
      </w:r>
      <w:r w:rsidR="00CC5663"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742D9" w:rsidRPr="00BB65F5" w:rsidRDefault="009742D9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742D9" w:rsidRPr="00BB65F5" w:rsidRDefault="009742D9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Reply 3</w:t>
      </w:r>
    </w:p>
    <w:p w:rsidR="00BD7302" w:rsidRPr="00BB65F5" w:rsidRDefault="00BD7302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We agree with your comment. In Round 2 revised manuscript we used other model defined as 2CPE model 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which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consisting of two R||CPE </w:t>
      </w:r>
      <w:proofErr w:type="spellStart"/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>subcircuits</w:t>
      </w:r>
      <w:proofErr w:type="spellEnd"/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connected in series as:</w:t>
      </w:r>
      <w:r w:rsidRPr="00BB65F5">
        <w:rPr>
          <w:noProof/>
          <w:lang w:val="en-US"/>
        </w:rPr>
        <w:t xml:space="preserve"> </w:t>
      </w:r>
    </w:p>
    <w:p w:rsidR="009742D9" w:rsidRPr="00BB65F5" w:rsidRDefault="00CC5663" w:rsidP="00CC5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65F5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F673A73">
            <wp:extent cx="2164080" cy="48133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302" w:rsidRPr="00BB65F5" w:rsidRDefault="00BD7302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2CPE equivalent circuit model</w:t>
      </w:r>
    </w:p>
    <w:p w:rsidR="00BD7302" w:rsidRPr="00BB65F5" w:rsidRDefault="00BD7302" w:rsidP="0079319F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BD7302" w:rsidRPr="00BB65F5" w:rsidRDefault="00D95265" w:rsidP="00787E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</w:pP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re-fit result obtained by using 2CPE</w:t>
      </w:r>
      <w:r w:rsidR="00787E52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model is presented in Table S1. The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new Fig.4</w:t>
      </w:r>
      <w:r w:rsidR="00787E52"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obtained after re-fit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is presented below. </w:t>
      </w:r>
    </w:p>
    <w:p w:rsidR="00D95265" w:rsidRPr="00BB65F5" w:rsidRDefault="00D95265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B41A8" w:rsidRPr="00BB65F5" w:rsidRDefault="008B41A8" w:rsidP="00B34EB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Table S1: Impedance parameters </w:t>
      </w:r>
      <w:r w:rsidR="00787E52"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obtained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for copper electrode in tin acid </w:t>
      </w:r>
      <w:r w:rsidR="003B1453"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solutions </w:t>
      </w:r>
      <w:r w:rsidR="00441F76"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>without and with</w:t>
      </w:r>
      <w:r w:rsidR="00B34EB3"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>TU using 2CPE equivalent circuit model.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13"/>
        <w:gridCol w:w="746"/>
        <w:gridCol w:w="1417"/>
        <w:gridCol w:w="765"/>
        <w:gridCol w:w="736"/>
        <w:gridCol w:w="1334"/>
        <w:gridCol w:w="851"/>
      </w:tblGrid>
      <w:tr w:rsidR="008B41A8" w:rsidRPr="00BB65F5" w:rsidTr="00E55385">
        <w:trPr>
          <w:trHeight w:val="885"/>
        </w:trPr>
        <w:tc>
          <w:tcPr>
            <w:tcW w:w="8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TU </w:t>
            </w:r>
            <w:proofErr w:type="spellStart"/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Conc</w:t>
            </w:r>
            <w:proofErr w:type="spellEnd"/>
          </w:p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(M)</w:t>
            </w:r>
          </w:p>
        </w:tc>
        <w:tc>
          <w:tcPr>
            <w:tcW w:w="1418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3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4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 </w:t>
            </w:r>
          </w:p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3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34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χ</w:t>
            </w:r>
            <w:r w:rsidRPr="00BB6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B41A8" w:rsidRPr="00BB65F5" w:rsidTr="00E55385">
        <w:trPr>
          <w:trHeight w:val="279"/>
        </w:trPr>
        <w:tc>
          <w:tcPr>
            <w:tcW w:w="8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1.95</w:t>
            </w:r>
          </w:p>
        </w:tc>
        <w:tc>
          <w:tcPr>
            <w:tcW w:w="813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74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4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6.07</w:t>
            </w:r>
          </w:p>
        </w:tc>
        <w:tc>
          <w:tcPr>
            <w:tcW w:w="765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36" w:type="dxa"/>
          </w:tcPr>
          <w:p w:rsidR="008B41A8" w:rsidRPr="00BB65F5" w:rsidRDefault="008B41A8" w:rsidP="00E55385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334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83.04</w:t>
            </w:r>
          </w:p>
        </w:tc>
        <w:tc>
          <w:tcPr>
            <w:tcW w:w="851" w:type="dxa"/>
          </w:tcPr>
          <w:p w:rsidR="008B41A8" w:rsidRPr="00BB65F5" w:rsidRDefault="008B41A8" w:rsidP="00E55385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2.92</w:t>
            </w:r>
          </w:p>
        </w:tc>
      </w:tr>
      <w:tr w:rsidR="008B41A8" w:rsidRPr="00BB65F5" w:rsidTr="00E55385">
        <w:trPr>
          <w:trHeight w:val="279"/>
        </w:trPr>
        <w:tc>
          <w:tcPr>
            <w:tcW w:w="8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8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1.22</w:t>
            </w:r>
          </w:p>
        </w:tc>
        <w:tc>
          <w:tcPr>
            <w:tcW w:w="813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4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4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0.69</w:t>
            </w:r>
          </w:p>
        </w:tc>
        <w:tc>
          <w:tcPr>
            <w:tcW w:w="765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36" w:type="dxa"/>
          </w:tcPr>
          <w:p w:rsidR="008B41A8" w:rsidRPr="00BB65F5" w:rsidRDefault="008B41A8" w:rsidP="00E55385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334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7.85</w:t>
            </w:r>
          </w:p>
        </w:tc>
        <w:tc>
          <w:tcPr>
            <w:tcW w:w="851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0.10</w:t>
            </w:r>
          </w:p>
        </w:tc>
      </w:tr>
      <w:tr w:rsidR="008B41A8" w:rsidRPr="00BB65F5" w:rsidTr="00E55385">
        <w:trPr>
          <w:trHeight w:val="263"/>
        </w:trPr>
        <w:tc>
          <w:tcPr>
            <w:tcW w:w="8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</w:t>
            </w:r>
          </w:p>
        </w:tc>
        <w:tc>
          <w:tcPr>
            <w:tcW w:w="1418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1.89</w:t>
            </w:r>
          </w:p>
        </w:tc>
        <w:tc>
          <w:tcPr>
            <w:tcW w:w="813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74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65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2.16</w:t>
            </w:r>
          </w:p>
        </w:tc>
        <w:tc>
          <w:tcPr>
            <w:tcW w:w="73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34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4.63</w:t>
            </w:r>
          </w:p>
        </w:tc>
        <w:tc>
          <w:tcPr>
            <w:tcW w:w="851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0.15</w:t>
            </w:r>
          </w:p>
        </w:tc>
      </w:tr>
      <w:tr w:rsidR="008B41A8" w:rsidRPr="00BB65F5" w:rsidTr="00E55385">
        <w:trPr>
          <w:trHeight w:val="296"/>
        </w:trPr>
        <w:tc>
          <w:tcPr>
            <w:tcW w:w="8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2.58</w:t>
            </w:r>
          </w:p>
        </w:tc>
        <w:tc>
          <w:tcPr>
            <w:tcW w:w="813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746" w:type="dxa"/>
          </w:tcPr>
          <w:p w:rsidR="008B41A8" w:rsidRPr="00BB65F5" w:rsidRDefault="008B41A8" w:rsidP="008B41A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417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0.41</w:t>
            </w:r>
          </w:p>
        </w:tc>
        <w:tc>
          <w:tcPr>
            <w:tcW w:w="765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2.51</w:t>
            </w:r>
          </w:p>
        </w:tc>
        <w:tc>
          <w:tcPr>
            <w:tcW w:w="736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0.59</w:t>
            </w:r>
          </w:p>
        </w:tc>
        <w:tc>
          <w:tcPr>
            <w:tcW w:w="1334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51" w:type="dxa"/>
          </w:tcPr>
          <w:p w:rsidR="008B41A8" w:rsidRPr="00BB65F5" w:rsidRDefault="008B41A8" w:rsidP="00E5538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BB65F5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0.40</w:t>
            </w:r>
          </w:p>
        </w:tc>
      </w:tr>
    </w:tbl>
    <w:p w:rsidR="008B41A8" w:rsidRPr="00BB65F5" w:rsidRDefault="008B41A8" w:rsidP="008B41A8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BD7302" w:rsidRPr="00BB65F5" w:rsidRDefault="00BD7302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D7302" w:rsidRPr="00BB65F5" w:rsidRDefault="00BD7302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D7302" w:rsidRPr="00BB65F5" w:rsidRDefault="00BD7302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fr-FR"/>
        </w:rPr>
      </w:pPr>
      <w:r w:rsidRPr="00BB65F5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3940F2C0" wp14:editId="0BAD791C">
            <wp:extent cx="2083348" cy="1800000"/>
            <wp:effectExtent l="0" t="0" r="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3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B65F5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 xml:space="preserve">                        </w:t>
      </w:r>
      <w:r w:rsidR="00BF34D7" w:rsidRPr="00BB65F5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561905" cy="1800000"/>
            <wp:effectExtent l="0" t="0" r="0" b="0"/>
            <wp:docPr id="1" name="Image 1" descr="D:\Nouveau dossier\2round2Fig 4 Nuqui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uveau dossier\2round2Fig 4 Nuquist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0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02" w:rsidRPr="00BB65F5" w:rsidRDefault="00BD7302" w:rsidP="0079319F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fr-FR"/>
        </w:rPr>
      </w:pPr>
    </w:p>
    <w:p w:rsidR="00067811" w:rsidRPr="00787E52" w:rsidRDefault="00D95265" w:rsidP="00CC5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BB65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Old Fig.4</w:t>
      </w:r>
      <w:r w:rsidRPr="00BB65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Pr="00BB65F5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New Fig.4</w:t>
      </w:r>
    </w:p>
    <w:sectPr w:rsidR="00067811" w:rsidRPr="00787E52" w:rsidSect="008A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03"/>
    <w:rsid w:val="00043D05"/>
    <w:rsid w:val="0004665C"/>
    <w:rsid w:val="00065C43"/>
    <w:rsid w:val="00067811"/>
    <w:rsid w:val="00097BEE"/>
    <w:rsid w:val="00097CE6"/>
    <w:rsid w:val="000C3341"/>
    <w:rsid w:val="001044C7"/>
    <w:rsid w:val="001150C3"/>
    <w:rsid w:val="00134E9A"/>
    <w:rsid w:val="001A4F2A"/>
    <w:rsid w:val="001D0DD0"/>
    <w:rsid w:val="001E34F6"/>
    <w:rsid w:val="00210A3E"/>
    <w:rsid w:val="00220E3B"/>
    <w:rsid w:val="00273371"/>
    <w:rsid w:val="002841BF"/>
    <w:rsid w:val="00291840"/>
    <w:rsid w:val="002C3F3F"/>
    <w:rsid w:val="002E02D7"/>
    <w:rsid w:val="00361AF5"/>
    <w:rsid w:val="00362C3A"/>
    <w:rsid w:val="003743B6"/>
    <w:rsid w:val="003B1453"/>
    <w:rsid w:val="003D6D82"/>
    <w:rsid w:val="00441F76"/>
    <w:rsid w:val="00442B2E"/>
    <w:rsid w:val="00492A6B"/>
    <w:rsid w:val="00523224"/>
    <w:rsid w:val="0055581F"/>
    <w:rsid w:val="005B7203"/>
    <w:rsid w:val="005C4A36"/>
    <w:rsid w:val="00691A00"/>
    <w:rsid w:val="006C4C5A"/>
    <w:rsid w:val="006E0152"/>
    <w:rsid w:val="007164AC"/>
    <w:rsid w:val="00757F6A"/>
    <w:rsid w:val="00787E52"/>
    <w:rsid w:val="0079319F"/>
    <w:rsid w:val="007A7D08"/>
    <w:rsid w:val="008078BD"/>
    <w:rsid w:val="008528CF"/>
    <w:rsid w:val="00867EE1"/>
    <w:rsid w:val="00876618"/>
    <w:rsid w:val="008A7C0C"/>
    <w:rsid w:val="008B4063"/>
    <w:rsid w:val="008B41A8"/>
    <w:rsid w:val="008D5866"/>
    <w:rsid w:val="00910810"/>
    <w:rsid w:val="009255E0"/>
    <w:rsid w:val="009429CD"/>
    <w:rsid w:val="00950B9E"/>
    <w:rsid w:val="00955290"/>
    <w:rsid w:val="009742D9"/>
    <w:rsid w:val="009853C7"/>
    <w:rsid w:val="009869EE"/>
    <w:rsid w:val="009907BD"/>
    <w:rsid w:val="00991113"/>
    <w:rsid w:val="009F4143"/>
    <w:rsid w:val="00A858BC"/>
    <w:rsid w:val="00AC5ACB"/>
    <w:rsid w:val="00AF5214"/>
    <w:rsid w:val="00B173A4"/>
    <w:rsid w:val="00B34EB3"/>
    <w:rsid w:val="00B93F7B"/>
    <w:rsid w:val="00BB5DC6"/>
    <w:rsid w:val="00BB65F5"/>
    <w:rsid w:val="00BD1CF2"/>
    <w:rsid w:val="00BD7302"/>
    <w:rsid w:val="00BF34D7"/>
    <w:rsid w:val="00BF751A"/>
    <w:rsid w:val="00C179B9"/>
    <w:rsid w:val="00C57B18"/>
    <w:rsid w:val="00C64F4E"/>
    <w:rsid w:val="00C6509C"/>
    <w:rsid w:val="00C84FE3"/>
    <w:rsid w:val="00CC5663"/>
    <w:rsid w:val="00D41FF5"/>
    <w:rsid w:val="00D52649"/>
    <w:rsid w:val="00D739AE"/>
    <w:rsid w:val="00D91875"/>
    <w:rsid w:val="00D95265"/>
    <w:rsid w:val="00E02CDF"/>
    <w:rsid w:val="00E671D6"/>
    <w:rsid w:val="00E73A36"/>
    <w:rsid w:val="00E958A6"/>
    <w:rsid w:val="00EF124C"/>
    <w:rsid w:val="00EF3459"/>
    <w:rsid w:val="00F22E01"/>
    <w:rsid w:val="00F25506"/>
    <w:rsid w:val="00F452CB"/>
    <w:rsid w:val="00F67BD9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7CD2"/>
  <w15:docId w15:val="{D23757C0-4F4D-4B6C-8732-0924D89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2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73A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9526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7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surfcoat.2014.06.04" TargetMode="External"/><Relationship Id="rId13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16/j.surfacoat.2016.06.065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jelechem.2014.05.02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dx.doi.org/10.1016/j.surfcoat.2015.08.05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hyperlink" Target="http://dx.doi.org/10.1007/s00706-009-0188-5" TargetMode="External"/><Relationship Id="rId9" Type="http://schemas.openxmlformats.org/officeDocument/2006/relationships/hyperlink" Target="https://doi.org/10.1246/bcsj.33.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Utilisateur Windows</cp:lastModifiedBy>
  <cp:revision>6</cp:revision>
  <dcterms:created xsi:type="dcterms:W3CDTF">2018-10-16T19:26:00Z</dcterms:created>
  <dcterms:modified xsi:type="dcterms:W3CDTF">2018-10-16T20:02:00Z</dcterms:modified>
</cp:coreProperties>
</file>