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B5B" w14:textId="609C7454" w:rsidR="00375804" w:rsidRPr="000B2B1E" w:rsidRDefault="004708B6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0B2B1E">
        <w:rPr>
          <w:rFonts w:ascii="Times New Roman" w:hAnsi="Times New Roman" w:cs="Times New Roman"/>
          <w:b/>
          <w:sz w:val="24"/>
          <w:lang w:val="en-GB"/>
        </w:rPr>
        <w:t>Supplementary Material</w:t>
      </w:r>
    </w:p>
    <w:p w14:paraId="193AABBE" w14:textId="77777777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3C47D0DB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0B2B1E">
        <w:rPr>
          <w:rFonts w:ascii="Times New Roman" w:hAnsi="Times New Roman" w:cs="Times New Roman"/>
          <w:b/>
          <w:sz w:val="24"/>
          <w:lang w:val="en-GB"/>
        </w:rPr>
        <w:t>Evaluating the scientific performance of institutions within the university: an example from the University of Belgrade</w:t>
      </w:r>
    </w:p>
    <w:p w14:paraId="2A2445AA" w14:textId="77777777" w:rsidR="00375804" w:rsidRPr="000B2B1E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C915802" w14:textId="77777777" w:rsidR="00375804" w:rsidRPr="000B2B1E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EEA28FA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>IVAN P</w:t>
      </w:r>
      <w:r w:rsidRPr="000B2B1E">
        <w:rPr>
          <w:rFonts w:ascii="Times New Roman" w:hAnsi="Times New Roman" w:cs="Times New Roman"/>
          <w:sz w:val="24"/>
        </w:rPr>
        <w:t>ILČEVIĆ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1*</w:t>
      </w:r>
      <w:r w:rsidRPr="000B2B1E">
        <w:rPr>
          <w:rFonts w:ascii="Times New Roman" w:hAnsi="Times New Roman" w:cs="Times New Roman"/>
          <w:sz w:val="24"/>
          <w:lang w:val="en-GB"/>
        </w:rPr>
        <w:t>, VELJKO JEREMIĆ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and DUŠAN VUJOŠEVIĆ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2</w:t>
      </w:r>
    </w:p>
    <w:p w14:paraId="7833005E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1</w:t>
      </w:r>
      <w:r w:rsidRPr="000B2B1E">
        <w:rPr>
          <w:rFonts w:ascii="Times New Roman" w:hAnsi="Times New Roman" w:cs="Times New Roman"/>
          <w:i/>
          <w:sz w:val="24"/>
          <w:lang w:val="en-GB"/>
        </w:rPr>
        <w:t>Faculty of Organizational Sciences, University of Belgrade</w:t>
      </w:r>
    </w:p>
    <w:p w14:paraId="57A21899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vertAlign w:val="superscript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Pr="000B2B1E">
        <w:rPr>
          <w:rFonts w:ascii="Times New Roman" w:hAnsi="Times New Roman" w:cs="Times New Roman"/>
          <w:i/>
          <w:sz w:val="24"/>
          <w:lang w:val="en-GB"/>
        </w:rPr>
        <w:t>The Faculty of Computer Science, Union University</w:t>
      </w:r>
    </w:p>
    <w:p w14:paraId="00968891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*</w:t>
      </w:r>
      <w:r w:rsidRPr="000B2B1E">
        <w:rPr>
          <w:rFonts w:ascii="Times New Roman" w:hAnsi="Times New Roman" w:cs="Times New Roman"/>
          <w:i/>
          <w:sz w:val="24"/>
          <w:lang w:val="en-GB"/>
        </w:rPr>
        <w:t>Corresponding author: ivan.pilcevic@gmail.com</w:t>
      </w:r>
    </w:p>
    <w:p w14:paraId="0CACFB28" w14:textId="2A01D421" w:rsidR="00FF1FAB" w:rsidRPr="000B2B1E" w:rsidRDefault="00FF1FAB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2333CB56" w14:textId="73847B99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As we can see from 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SI</w:t>
      </w:r>
      <w:r w:rsidRPr="000B2B1E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, the Institute </w:t>
      </w:r>
      <w:proofErr w:type="spellStart"/>
      <w:r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leads the way with 2100 published papers. In addition, the quality of the journals in which those papers were published is quite high. The median value of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is 66.309, meaning that half the </w:t>
      </w:r>
      <w:proofErr w:type="spellStart"/>
      <w:r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papers came out in journals which are in top 33.691% in their respective JCR subject category.</w:t>
      </w:r>
    </w:p>
    <w:p w14:paraId="740E388D" w14:textId="77777777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7BC2EB04" w14:textId="3C86A2EE" w:rsidR="00FF1FAB" w:rsidRPr="000B2B1E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five leading institutes</w:t>
      </w:r>
    </w:p>
    <w:tbl>
      <w:tblPr>
        <w:tblW w:w="8302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1144"/>
        <w:gridCol w:w="866"/>
        <w:gridCol w:w="1011"/>
        <w:gridCol w:w="866"/>
        <w:gridCol w:w="1055"/>
      </w:tblGrid>
      <w:tr w:rsidR="000B2B1E" w:rsidRPr="000B2B1E" w14:paraId="45F158C6" w14:textId="77777777" w:rsidTr="00AD1E29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0D53E4BF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74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1A3" w14:textId="72090A1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5E56CF7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Vinca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253" w14:textId="1D7AA824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053A31F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ICTM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81D" w14:textId="63AA5C3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54FEC5A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EB2" w14:textId="4602516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6796432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2B4" w14:textId="5F86413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622F26D3" w14:textId="4A58C59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Mult</w:t>
            </w:r>
            <w:proofErr w:type="spellEnd"/>
            <w:r w:rsidR="00931F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Disc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</w:tr>
      <w:tr w:rsidR="000B2B1E" w:rsidRPr="000B2B1E" w14:paraId="3ECA149B" w14:textId="77777777" w:rsidTr="00AD1E29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1E4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92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98C7D8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39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4D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1163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0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1109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8B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41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531</w:t>
            </w:r>
          </w:p>
        </w:tc>
      </w:tr>
      <w:tr w:rsidR="000B2B1E" w:rsidRPr="000B2B1E" w14:paraId="34AB8010" w14:textId="77777777" w:rsidTr="00AD1E29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C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4C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89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66.309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5B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D2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55.195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E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74.423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8D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65.382</w:t>
            </w:r>
          </w:p>
        </w:tc>
      </w:tr>
      <w:tr w:rsidR="00C013DB" w:rsidRPr="000B2B1E" w14:paraId="15AD0CA3" w14:textId="77777777" w:rsidTr="00AD1E29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5CA2E1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D0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BF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35.965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40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41.114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95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AA8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33.950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43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44.056</w:t>
            </w:r>
          </w:p>
        </w:tc>
      </w:tr>
    </w:tbl>
    <w:p w14:paraId="35ED5AA9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C743222" w14:textId="1F4E5D58" w:rsidR="00C013DB" w:rsidRPr="000B2B1E" w:rsidRDefault="00A12A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>A r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emarkable result </w:t>
      </w:r>
      <w:r w:rsidRPr="000B2B1E">
        <w:rPr>
          <w:rFonts w:ascii="Times New Roman" w:hAnsi="Times New Roman" w:cs="Times New Roman"/>
          <w:sz w:val="24"/>
          <w:lang w:val="en-GB"/>
        </w:rPr>
        <w:t>was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achieved by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Institute of Physics.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Fully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half of its papers </w:t>
      </w:r>
      <w:r w:rsidRPr="000B2B1E">
        <w:rPr>
          <w:rFonts w:ascii="Times New Roman" w:hAnsi="Times New Roman" w:cs="Times New Roman"/>
          <w:sz w:val="24"/>
          <w:lang w:val="en-GB"/>
        </w:rPr>
        <w:t>were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published in journals which are placed in 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25.577%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of 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>respective JCR subject category.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E616C5" w:rsidRPr="000B2B1E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Institute for </w:t>
      </w:r>
      <w:r w:rsidR="004A7919" w:rsidRPr="000B2B1E">
        <w:rPr>
          <w:rFonts w:ascii="Times New Roman" w:hAnsi="Times New Roman" w:cs="Times New Roman"/>
          <w:sz w:val="24"/>
          <w:lang w:val="en-GB"/>
        </w:rPr>
        <w:t>B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iological </w:t>
      </w:r>
      <w:r w:rsidR="004A7919" w:rsidRPr="000B2B1E">
        <w:rPr>
          <w:rFonts w:ascii="Times New Roman" w:hAnsi="Times New Roman" w:cs="Times New Roman"/>
          <w:sz w:val="24"/>
          <w:lang w:val="en-GB"/>
        </w:rPr>
        <w:t>R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esearch </w:t>
      </w:r>
      <w:r w:rsidR="00CC0214" w:rsidRPr="000B2B1E">
        <w:rPr>
          <w:rFonts w:ascii="Times New Roman" w:hAnsi="Times New Roman" w:cs="Times New Roman"/>
          <w:sz w:val="24"/>
          <w:lang w:val="en-GB"/>
        </w:rPr>
        <w:t>“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Siniša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Stanković</w:t>
      </w:r>
      <w:proofErr w:type="spellEnd"/>
      <w:r w:rsidR="00CC0214" w:rsidRPr="000B2B1E">
        <w:rPr>
          <w:rFonts w:ascii="Times New Roman" w:hAnsi="Times New Roman" w:cs="Times New Roman"/>
          <w:sz w:val="24"/>
          <w:lang w:val="en-GB"/>
        </w:rPr>
        <w:t>”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has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lowest median value and highest </w:t>
      </w:r>
      <w:r w:rsidR="004A7919" w:rsidRPr="000B2B1E">
        <w:rPr>
          <w:rFonts w:ascii="Times New Roman" w:hAnsi="Times New Roman" w:cs="Times New Roman"/>
          <w:sz w:val="24"/>
          <w:lang w:val="en-GB"/>
        </w:rPr>
        <w:t>interquartile range (</w:t>
      </w:r>
      <w:r w:rsidR="00E616C5" w:rsidRPr="000B2B1E">
        <w:rPr>
          <w:rFonts w:ascii="Times New Roman" w:hAnsi="Times New Roman" w:cs="Times New Roman"/>
          <w:sz w:val="24"/>
          <w:lang w:val="en-GB"/>
        </w:rPr>
        <w:t>IQR</w:t>
      </w:r>
      <w:r w:rsidR="004A7919" w:rsidRPr="000B2B1E">
        <w:rPr>
          <w:rFonts w:ascii="Times New Roman" w:hAnsi="Times New Roman" w:cs="Times New Roman"/>
          <w:sz w:val="24"/>
          <w:lang w:val="en-GB"/>
        </w:rPr>
        <w:t>)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among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>top institutes</w:t>
      </w:r>
      <w:r w:rsidR="002A1EA7" w:rsidRPr="000B2B1E">
        <w:rPr>
          <w:rFonts w:ascii="Times New Roman" w:hAnsi="Times New Roman" w:cs="Times New Roman"/>
          <w:sz w:val="24"/>
          <w:lang w:val="en-GB"/>
        </w:rPr>
        <w:t xml:space="preserve"> (large variability of </w:t>
      </w:r>
      <w:r w:rsidR="005A6F98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0B2B1E">
        <w:rPr>
          <w:rFonts w:ascii="Times New Roman" w:hAnsi="Times New Roman" w:cs="Times New Roman"/>
          <w:sz w:val="24"/>
          <w:lang w:val="en-GB"/>
        </w:rPr>
        <w:t>observed indicator)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, meaning </w:t>
      </w:r>
      <w:r w:rsidR="002A1EA7" w:rsidRPr="000B2B1E">
        <w:rPr>
          <w:rFonts w:ascii="Times New Roman" w:hAnsi="Times New Roman" w:cs="Times New Roman"/>
          <w:sz w:val="24"/>
          <w:lang w:val="en-GB"/>
        </w:rPr>
        <w:t xml:space="preserve">that its performance is weaker than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0B2B1E">
        <w:rPr>
          <w:rFonts w:ascii="Times New Roman" w:hAnsi="Times New Roman" w:cs="Times New Roman"/>
          <w:sz w:val="24"/>
          <w:lang w:val="en-GB"/>
        </w:rPr>
        <w:t>previously mentioned institutes.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16D0C969" w14:textId="77777777" w:rsidR="00FB5930" w:rsidRPr="000B2B1E" w:rsidRDefault="00FB5930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58A1F9D" w14:textId="1425522A" w:rsidR="00FF1FAB" w:rsidRPr="000B2B1E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Ib.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Medical Sciences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2305"/>
        <w:gridCol w:w="1153"/>
        <w:gridCol w:w="866"/>
        <w:gridCol w:w="866"/>
        <w:gridCol w:w="1022"/>
        <w:gridCol w:w="866"/>
      </w:tblGrid>
      <w:tr w:rsidR="000B2B1E" w:rsidRPr="000B2B1E" w14:paraId="1F5A9BB0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6F56922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CF8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1BD" w14:textId="3C34C161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41D7299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096" w14:textId="3CFB61C6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174818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Pharm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030" w14:textId="3181E38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BFD45D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Vet 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DC4" w14:textId="7CBA6B1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FE7815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Dent</w:t>
            </w:r>
          </w:p>
        </w:tc>
      </w:tr>
      <w:tr w:rsidR="000B2B1E" w:rsidRPr="000B2B1E" w14:paraId="5CFA04DB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CC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C5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27C0290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3B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2456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60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41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A1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312</w:t>
            </w:r>
          </w:p>
        </w:tc>
      </w:tr>
      <w:tr w:rsidR="000B2B1E" w:rsidRPr="000B2B1E" w14:paraId="34F44BBC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C1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4C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EE2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40.256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62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51.611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B3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33.784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7C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32.916</w:t>
            </w:r>
          </w:p>
        </w:tc>
      </w:tr>
      <w:tr w:rsidR="000B2B1E" w:rsidRPr="000B2B1E" w14:paraId="03B1BDEB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0A333B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04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07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50.676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0CF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48.711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3E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41.063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77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59.661</w:t>
            </w:r>
          </w:p>
        </w:tc>
      </w:tr>
    </w:tbl>
    <w:p w14:paraId="11524D9E" w14:textId="1552C859" w:rsidR="00C013DB" w:rsidRPr="000B2B1E" w:rsidRDefault="00A12AB6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>Our r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esults show that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>Faculty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 of </w:t>
      </w:r>
      <w:r w:rsidR="00F31711" w:rsidRPr="000B2B1E">
        <w:rPr>
          <w:rFonts w:ascii="Times New Roman" w:hAnsi="Times New Roman" w:cs="Times New Roman"/>
          <w:sz w:val="24"/>
          <w:lang w:val="en-GB"/>
        </w:rPr>
        <w:t>M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edicine has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largest number of published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(2456),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but they are published in journals with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lower ratings on the </w:t>
      </w:r>
      <w:r w:rsidR="00C013DB"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than </w:t>
      </w:r>
      <w:r w:rsidR="00D70B35" w:rsidRPr="000B2B1E">
        <w:rPr>
          <w:rFonts w:ascii="Times New Roman" w:hAnsi="Times New Roman" w:cs="Times New Roman"/>
          <w:sz w:val="24"/>
          <w:lang w:val="en-GB"/>
        </w:rPr>
        <w:t xml:space="preserve">those of 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Institut</w:t>
      </w:r>
      <w:r w:rsidR="00F31711" w:rsidRPr="000B2B1E">
        <w:rPr>
          <w:rFonts w:ascii="Times New Roman" w:hAnsi="Times New Roman" w:cs="Times New Roman"/>
          <w:sz w:val="24"/>
          <w:lang w:val="en-GB"/>
        </w:rPr>
        <w:t>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>Institute of Physics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. </w:t>
      </w:r>
      <w:r w:rsidR="00EA5A57" w:rsidRPr="000B2B1E">
        <w:rPr>
          <w:rFonts w:ascii="Times New Roman" w:hAnsi="Times New Roman" w:cs="Times New Roman"/>
          <w:sz w:val="24"/>
          <w:lang w:val="en-GB"/>
        </w:rPr>
        <w:t>A s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imilar conclusion can be deduced for both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Faculty of Veterinary </w:t>
      </w:r>
      <w:r w:rsidR="00CC0214" w:rsidRPr="000B2B1E">
        <w:rPr>
          <w:rFonts w:ascii="Times New Roman" w:hAnsi="Times New Roman" w:cs="Times New Roman"/>
          <w:sz w:val="24"/>
          <w:lang w:val="en-GB"/>
        </w:rPr>
        <w:t>Medicine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Faculty of Dental Medicine, while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3D6846" w:rsidRPr="000B2B1E">
        <w:rPr>
          <w:rFonts w:ascii="Times New Roman" w:hAnsi="Times New Roman" w:cs="Times New Roman"/>
          <w:sz w:val="24"/>
          <w:lang w:val="en-GB"/>
        </w:rPr>
        <w:t>Faculty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of Pharmacy with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median value of </w:t>
      </w:r>
      <w:r w:rsidR="00C013DB" w:rsidRPr="000B2B1E">
        <w:rPr>
          <w:rFonts w:ascii="Times New Roman" w:hAnsi="Times New Roman" w:cs="Times New Roman"/>
          <w:sz w:val="24"/>
          <w:lang w:val="en-GB"/>
        </w:rPr>
        <w:t>51.611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for indicator </w:t>
      </w:r>
      <w:r w:rsidR="00F31711"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has the best performance in the group of </w:t>
      </w:r>
      <w:r w:rsidR="006A4D84" w:rsidRPr="000B2B1E">
        <w:rPr>
          <w:rFonts w:ascii="Times New Roman" w:hAnsi="Times New Roman" w:cs="Times New Roman"/>
          <w:sz w:val="24"/>
          <w:lang w:val="en-GB"/>
        </w:rPr>
        <w:t>Faculties of Medical Sciences</w:t>
      </w:r>
      <w:r w:rsidR="004708B6" w:rsidRPr="000B2B1E">
        <w:rPr>
          <w:rFonts w:ascii="Times New Roman" w:hAnsi="Times New Roman" w:cs="Times New Roman"/>
          <w:sz w:val="24"/>
          <w:lang w:val="en-GB"/>
        </w:rPr>
        <w:t xml:space="preserve"> (T</w:t>
      </w:r>
      <w:r w:rsidR="009C73A2" w:rsidRPr="000B2B1E">
        <w:rPr>
          <w:rFonts w:ascii="Times New Roman" w:hAnsi="Times New Roman" w:cs="Times New Roman"/>
          <w:sz w:val="24"/>
          <w:lang w:val="en-GB"/>
        </w:rPr>
        <w:t>ABLE</w:t>
      </w:r>
      <w:r w:rsidR="004708B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B63C5D" w:rsidRPr="000B2B1E">
        <w:rPr>
          <w:rFonts w:ascii="Times New Roman" w:hAnsi="Times New Roman" w:cs="Times New Roman"/>
          <w:sz w:val="24"/>
          <w:lang w:val="en-GB"/>
        </w:rPr>
        <w:t>I</w:t>
      </w:r>
      <w:r w:rsidR="004708B6" w:rsidRPr="000B2B1E">
        <w:rPr>
          <w:rFonts w:ascii="Times New Roman" w:hAnsi="Times New Roman" w:cs="Times New Roman"/>
          <w:sz w:val="24"/>
          <w:lang w:val="en-GB"/>
        </w:rPr>
        <w:t>b</w:t>
      </w:r>
      <w:proofErr w:type="spellEnd"/>
      <w:r w:rsidR="004708B6" w:rsidRPr="000B2B1E">
        <w:rPr>
          <w:rFonts w:ascii="Times New Roman" w:hAnsi="Times New Roman" w:cs="Times New Roman"/>
          <w:sz w:val="24"/>
          <w:lang w:val="en-GB"/>
        </w:rPr>
        <w:t>)</w:t>
      </w:r>
      <w:r w:rsidR="00F31711" w:rsidRPr="000B2B1E">
        <w:rPr>
          <w:rFonts w:ascii="Times New Roman" w:hAnsi="Times New Roman" w:cs="Times New Roman"/>
          <w:sz w:val="24"/>
          <w:lang w:val="en-GB"/>
        </w:rPr>
        <w:t>.</w:t>
      </w:r>
    </w:p>
    <w:p w14:paraId="26628A3E" w14:textId="77777777" w:rsidR="00FB5930" w:rsidRPr="000B2B1E" w:rsidRDefault="00FB5930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D785E5F" w14:textId="51AE6E0B" w:rsidR="00C013DB" w:rsidRPr="000B2B1E" w:rsidRDefault="00FF1FA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Ic.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for Faculties of Sciences and Mathematics 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2305"/>
        <w:gridCol w:w="1055"/>
        <w:gridCol w:w="866"/>
        <w:gridCol w:w="866"/>
        <w:gridCol w:w="1233"/>
        <w:gridCol w:w="866"/>
        <w:gridCol w:w="866"/>
      </w:tblGrid>
      <w:tr w:rsidR="000B2B1E" w:rsidRPr="000B2B1E" w14:paraId="48D8B137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DC9304A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F31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924" w14:textId="43A18B0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148B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57C3" w14:textId="72BCE565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FD6D8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Chem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43E" w14:textId="338940A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739060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 Chem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D78" w14:textId="21518C98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0A4F44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722" w14:textId="22494192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CE784A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Math</w:t>
            </w:r>
          </w:p>
        </w:tc>
      </w:tr>
      <w:tr w:rsidR="000B2B1E" w:rsidRPr="000B2B1E" w14:paraId="79DC2B3C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DD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8E7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62D62A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C0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06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0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34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F6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365</w:t>
            </w:r>
          </w:p>
        </w:tc>
      </w:tr>
      <w:tr w:rsidR="000B2B1E" w:rsidRPr="000B2B1E" w14:paraId="4DCDE891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0B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FF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BA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44.031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53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A6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68.375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50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76.866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120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62.071</w:t>
            </w:r>
          </w:p>
        </w:tc>
      </w:tr>
      <w:tr w:rsidR="00C013DB" w:rsidRPr="000B2B1E" w14:paraId="119938AF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5FE1D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C7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2D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44.709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87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40.626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78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38.579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9C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24.451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37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44.967</w:t>
            </w:r>
          </w:p>
        </w:tc>
      </w:tr>
    </w:tbl>
    <w:p w14:paraId="43E18AB5" w14:textId="77777777" w:rsidR="004708B6" w:rsidRPr="000B2B1E" w:rsidRDefault="004708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A0A335E" w14:textId="2BC07A55" w:rsidR="00C013DB" w:rsidRPr="000B2B1E" w:rsidRDefault="00DA5EAB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In </w:t>
      </w:r>
      <w:r w:rsidR="00FB593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group of </w:t>
      </w:r>
      <w:r w:rsidR="00CC0214" w:rsidRPr="000B2B1E">
        <w:rPr>
          <w:rFonts w:ascii="Times New Roman" w:hAnsi="Times New Roman" w:cs="Times New Roman"/>
          <w:sz w:val="24"/>
          <w:lang w:val="en-GB"/>
        </w:rPr>
        <w:t>Faculties of Sciences and Mathematics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for Physical Chemistry 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Physics stand out. Half of the papers from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for Physical Chemistry are published in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31.625%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while half of the papers written by authors from the Faculty of Physics are in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23.134%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FF1FAB" w:rsidRPr="000B2B1E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FF1FAB" w:rsidRPr="000B2B1E">
        <w:rPr>
          <w:rFonts w:ascii="Times New Roman" w:hAnsi="Times New Roman" w:cs="Times New Roman"/>
          <w:sz w:val="24"/>
          <w:lang w:val="en-GB"/>
        </w:rPr>
        <w:t>I</w:t>
      </w:r>
      <w:r w:rsidR="004708B6" w:rsidRPr="000B2B1E">
        <w:rPr>
          <w:rFonts w:ascii="Times New Roman" w:hAnsi="Times New Roman" w:cs="Times New Roman"/>
          <w:sz w:val="24"/>
          <w:lang w:val="en-GB"/>
        </w:rPr>
        <w:t>c</w:t>
      </w:r>
      <w:proofErr w:type="spellEnd"/>
      <w:r w:rsidR="004708B6" w:rsidRPr="000B2B1E">
        <w:rPr>
          <w:rFonts w:ascii="Times New Roman" w:hAnsi="Times New Roman" w:cs="Times New Roman"/>
          <w:sz w:val="24"/>
          <w:lang w:val="en-GB"/>
        </w:rPr>
        <w:t>)</w:t>
      </w:r>
      <w:r w:rsidR="00C013DB" w:rsidRPr="000B2B1E">
        <w:rPr>
          <w:rFonts w:ascii="Times New Roman" w:hAnsi="Times New Roman" w:cs="Times New Roman"/>
          <w:sz w:val="24"/>
          <w:lang w:val="en-GB"/>
        </w:rPr>
        <w:t>.</w:t>
      </w:r>
    </w:p>
    <w:p w14:paraId="1BE53AE3" w14:textId="77777777" w:rsidR="00AA4017" w:rsidRPr="000B2B1E" w:rsidRDefault="00AA4017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4616335" w14:textId="1221DCA8" w:rsidR="00C013DB" w:rsidRPr="000B2B1E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Id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Technology and Engineering Sciences (top 5 in terms of number of published papers)</w:t>
      </w:r>
    </w:p>
    <w:tbl>
      <w:tblPr>
        <w:tblW w:w="8747" w:type="dxa"/>
        <w:tblLook w:val="04A0" w:firstRow="1" w:lastRow="0" w:firstColumn="1" w:lastColumn="0" w:noHBand="0" w:noVBand="1"/>
      </w:tblPr>
      <w:tblGrid>
        <w:gridCol w:w="2305"/>
        <w:gridCol w:w="1055"/>
        <w:gridCol w:w="1188"/>
        <w:gridCol w:w="1100"/>
        <w:gridCol w:w="1144"/>
        <w:gridCol w:w="866"/>
        <w:gridCol w:w="1089"/>
      </w:tblGrid>
      <w:tr w:rsidR="000B2B1E" w:rsidRPr="000B2B1E" w14:paraId="6D4BF584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5B0824D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9ED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E2C" w14:textId="406C893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4FCAF7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Techn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Met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6E8" w14:textId="2251683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54FC8B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Elect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622" w14:textId="0978619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B67E0E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Mech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CC8" w14:textId="7B33885B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37F62DC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Agr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56C" w14:textId="071AB7ED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73A34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Min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Geol</w:t>
            </w:r>
            <w:proofErr w:type="spellEnd"/>
          </w:p>
        </w:tc>
      </w:tr>
      <w:tr w:rsidR="000B2B1E" w:rsidRPr="000B2B1E" w14:paraId="099BD561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C8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F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3F73A25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28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1343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BF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1D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42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B1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378</w:t>
            </w:r>
          </w:p>
        </w:tc>
      </w:tr>
      <w:tr w:rsidR="000B2B1E" w:rsidRPr="000B2B1E" w14:paraId="6D33D975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EC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0E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2C5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63.333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FF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60.294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76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55.455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CD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47.283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0C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49.156</w:t>
            </w:r>
          </w:p>
        </w:tc>
      </w:tr>
      <w:tr w:rsidR="00C013DB" w:rsidRPr="000B2B1E" w14:paraId="6492CF62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2A408E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CE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95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45.901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CE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41.516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A3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44.625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5E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47.159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00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48.453</w:t>
            </w:r>
          </w:p>
        </w:tc>
      </w:tr>
    </w:tbl>
    <w:p w14:paraId="58354E12" w14:textId="77777777" w:rsidR="00C013DB" w:rsidRPr="000B2B1E" w:rsidRDefault="00C013DB" w:rsidP="00AA40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F9E0826" w14:textId="381AE156" w:rsidR="00AA4017" w:rsidRPr="000B2B1E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Ie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Technology and Engineering Sciences (rest</w:t>
      </w:r>
      <w:r w:rsidRPr="000B2B1E">
        <w:rPr>
          <w:rStyle w:val="FootnoteReference"/>
          <w:rFonts w:ascii="Times New Roman" w:hAnsi="Times New Roman" w:cs="Times New Roman"/>
          <w:sz w:val="24"/>
          <w:lang w:val="en-GB"/>
        </w:rPr>
        <w:footnoteReference w:id="1"/>
      </w:r>
      <w:r w:rsidRPr="000B2B1E">
        <w:rPr>
          <w:rFonts w:ascii="Times New Roman" w:hAnsi="Times New Roman" w:cs="Times New Roman"/>
          <w:sz w:val="24"/>
          <w:lang w:val="en-GB"/>
        </w:rPr>
        <w:t>)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933"/>
        <w:gridCol w:w="1066"/>
        <w:gridCol w:w="1094"/>
        <w:gridCol w:w="983"/>
        <w:gridCol w:w="1089"/>
      </w:tblGrid>
      <w:tr w:rsidR="000B2B1E" w:rsidRPr="000B2B1E" w14:paraId="71137656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7A15A6A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B42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B6F" w14:textId="19DF0242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24BFD9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 Sci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6" w14:textId="240BE874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5474A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Tech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EB8" w14:textId="22F630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36F0C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Transport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4D3" w14:textId="5321750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D78637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Forestry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AA3" w14:textId="62438B1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B2A5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Civil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</w:tr>
      <w:tr w:rsidR="000B2B1E" w:rsidRPr="000B2B1E" w14:paraId="6020573A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65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72F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6223BCD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35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F6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EC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5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B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182</w:t>
            </w:r>
          </w:p>
        </w:tc>
      </w:tr>
      <w:tr w:rsidR="000B2B1E" w:rsidRPr="000B2B1E" w14:paraId="403506AE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B3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89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EC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39.091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AB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46.019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DB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55.532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32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28.313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7D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44.815</w:t>
            </w:r>
          </w:p>
        </w:tc>
      </w:tr>
      <w:tr w:rsidR="00C013DB" w:rsidRPr="000B2B1E" w14:paraId="3950F4C9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4E228B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67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02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46.991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F2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42.420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03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46.795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EA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37.393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BF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48.895</w:t>
            </w:r>
          </w:p>
        </w:tc>
      </w:tr>
    </w:tbl>
    <w:p w14:paraId="277C2191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76084FC" w14:textId="77777777" w:rsidR="00FB5930" w:rsidRPr="000B2B1E" w:rsidRDefault="00FB5930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65D80E5" w14:textId="0B50168D" w:rsidR="00C013DB" w:rsidRPr="000B2B1E" w:rsidRDefault="00940ECB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Among </w:t>
      </w:r>
      <w:r w:rsidR="0051729E" w:rsidRPr="000B2B1E">
        <w:rPr>
          <w:rFonts w:ascii="Times New Roman" w:hAnsi="Times New Roman" w:cs="Times New Roman"/>
          <w:sz w:val="24"/>
          <w:lang w:val="en-GB"/>
        </w:rPr>
        <w:t>Faculties of Technology and Engineering Sciences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D42FF7" w:rsidRPr="000B2B1E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leads the way with more than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1300 </w:t>
      </w:r>
      <w:r w:rsidRPr="000B2B1E">
        <w:rPr>
          <w:rFonts w:ascii="Times New Roman" w:hAnsi="Times New Roman" w:cs="Times New Roman"/>
          <w:sz w:val="24"/>
          <w:lang w:val="en-GB"/>
        </w:rPr>
        <w:t>published papers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half of those </w:t>
      </w:r>
      <w:r w:rsidR="00FD6A80" w:rsidRPr="000B2B1E">
        <w:rPr>
          <w:rFonts w:ascii="Times New Roman" w:hAnsi="Times New Roman" w:cs="Times New Roman"/>
          <w:sz w:val="24"/>
          <w:lang w:val="en-GB"/>
        </w:rPr>
        <w:t>having appeared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>36.667%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AA4017" w:rsidRPr="000B2B1E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AA4017" w:rsidRPr="000B2B1E">
        <w:rPr>
          <w:rFonts w:ascii="Times New Roman" w:hAnsi="Times New Roman" w:cs="Times New Roman"/>
          <w:sz w:val="24"/>
          <w:lang w:val="en-GB"/>
        </w:rPr>
        <w:t>I</w:t>
      </w:r>
      <w:r w:rsidR="00203065" w:rsidRPr="000B2B1E">
        <w:rPr>
          <w:rFonts w:ascii="Times New Roman" w:hAnsi="Times New Roman" w:cs="Times New Roman"/>
          <w:sz w:val="24"/>
          <w:lang w:val="en-GB"/>
        </w:rPr>
        <w:t>d</w:t>
      </w:r>
      <w:proofErr w:type="spellEnd"/>
      <w:r w:rsidR="00203065" w:rsidRPr="000B2B1E">
        <w:rPr>
          <w:rFonts w:ascii="Times New Roman" w:hAnsi="Times New Roman" w:cs="Times New Roman"/>
          <w:sz w:val="24"/>
          <w:lang w:val="en-GB"/>
        </w:rPr>
        <w:t>)</w:t>
      </w:r>
      <w:r w:rsidR="00C013DB" w:rsidRPr="000B2B1E">
        <w:rPr>
          <w:rFonts w:ascii="Times New Roman" w:hAnsi="Times New Roman" w:cs="Times New Roman"/>
          <w:sz w:val="24"/>
          <w:lang w:val="en-GB"/>
        </w:rPr>
        <w:t>.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Among Faculties of Technology and Engineering Sciences with </w:t>
      </w:r>
      <w:r w:rsidR="0052757A" w:rsidRPr="000B2B1E">
        <w:rPr>
          <w:rFonts w:ascii="Times New Roman" w:hAnsi="Times New Roman" w:cs="Times New Roman"/>
          <w:sz w:val="24"/>
          <w:lang w:val="en-GB"/>
        </w:rPr>
        <w:t>fewer</w:t>
      </w:r>
      <w:r w:rsidR="00AA4017" w:rsidRPr="000B2B1E">
        <w:rPr>
          <w:rFonts w:ascii="Times New Roman" w:hAnsi="Times New Roman" w:cs="Times New Roman"/>
          <w:sz w:val="24"/>
          <w:lang w:val="en-GB"/>
        </w:rPr>
        <w:t xml:space="preserve"> published papers (TABLE</w:t>
      </w:r>
      <w:r w:rsidR="005114A1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5114A1" w:rsidRPr="000B2B1E">
        <w:rPr>
          <w:rFonts w:ascii="Times New Roman" w:hAnsi="Times New Roman" w:cs="Times New Roman"/>
          <w:sz w:val="24"/>
          <w:lang w:val="en-GB"/>
        </w:rPr>
        <w:t>I</w:t>
      </w:r>
      <w:r w:rsidR="00203065" w:rsidRPr="000B2B1E">
        <w:rPr>
          <w:rFonts w:ascii="Times New Roman" w:hAnsi="Times New Roman" w:cs="Times New Roman"/>
          <w:sz w:val="24"/>
          <w:lang w:val="en-GB"/>
        </w:rPr>
        <w:t>e</w:t>
      </w:r>
      <w:proofErr w:type="spellEnd"/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),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Faculty of Transport and Traffic Engineering </w:t>
      </w:r>
      <w:r w:rsidR="00B51DDD" w:rsidRPr="000B2B1E">
        <w:rPr>
          <w:rFonts w:ascii="Times New Roman" w:hAnsi="Times New Roman" w:cs="Times New Roman"/>
          <w:sz w:val="24"/>
          <w:lang w:val="en-GB"/>
        </w:rPr>
        <w:t>exhibit</w:t>
      </w:r>
      <w:r w:rsidR="0052757A" w:rsidRPr="000B2B1E">
        <w:rPr>
          <w:rFonts w:ascii="Times New Roman" w:hAnsi="Times New Roman" w:cs="Times New Roman"/>
          <w:sz w:val="24"/>
          <w:lang w:val="en-GB"/>
        </w:rPr>
        <w:t>s the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best performance</w:t>
      </w:r>
      <w:r w:rsidR="0052757A" w:rsidRPr="000B2B1E">
        <w:rPr>
          <w:rFonts w:ascii="Times New Roman" w:hAnsi="Times New Roman" w:cs="Times New Roman"/>
          <w:sz w:val="24"/>
          <w:lang w:val="en-GB"/>
        </w:rPr>
        <w:t>,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with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median value for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203065"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of 55.532 (meaning that half of its papers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were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published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>top 4</w:t>
      </w:r>
      <w:r w:rsidR="00E668D9" w:rsidRPr="000B2B1E">
        <w:rPr>
          <w:rFonts w:ascii="Times New Roman" w:hAnsi="Times New Roman" w:cs="Times New Roman"/>
          <w:sz w:val="24"/>
          <w:lang w:val="en-GB"/>
        </w:rPr>
        <w:t>4</w:t>
      </w:r>
      <w:r w:rsidR="00203065" w:rsidRPr="000B2B1E">
        <w:rPr>
          <w:rFonts w:ascii="Times New Roman" w:hAnsi="Times New Roman" w:cs="Times New Roman"/>
          <w:sz w:val="24"/>
          <w:lang w:val="en-GB"/>
        </w:rPr>
        <w:t>.468% of journals.</w:t>
      </w:r>
    </w:p>
    <w:p w14:paraId="1C2693F4" w14:textId="77777777" w:rsidR="00C013DB" w:rsidRPr="000B2B1E" w:rsidRDefault="00C013DB" w:rsidP="00CB33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854544D" w14:textId="4F9082D5" w:rsidR="00C013DB" w:rsidRPr="000B2B1E" w:rsidRDefault="0052757A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>In addition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, we performed percentile-based analysis in terms of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quality of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published papers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from </w:t>
      </w:r>
      <w:r w:rsidR="00C013DB" w:rsidRPr="000B2B1E">
        <w:rPr>
          <w:rFonts w:ascii="Times New Roman" w:hAnsi="Times New Roman" w:cs="Times New Roman"/>
          <w:sz w:val="24"/>
          <w:lang w:val="en-GB"/>
        </w:rPr>
        <w:t>2009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 to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2014. </w:t>
      </w:r>
      <w:r w:rsidR="005034E5" w:rsidRPr="000B2B1E">
        <w:rPr>
          <w:rFonts w:ascii="Times New Roman" w:hAnsi="Times New Roman" w:cs="Times New Roman"/>
          <w:sz w:val="24"/>
          <w:lang w:val="en-GB"/>
        </w:rPr>
        <w:t>As we ca</w:t>
      </w:r>
      <w:bookmarkStart w:id="0" w:name="_GoBack"/>
      <w:bookmarkEnd w:id="0"/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n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see from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a,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researchers from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Institut</w:t>
      </w:r>
      <w:r w:rsidR="005034E5" w:rsidRPr="000B2B1E">
        <w:rPr>
          <w:rFonts w:ascii="Times New Roman" w:hAnsi="Times New Roman" w:cs="Times New Roman"/>
          <w:sz w:val="24"/>
          <w:lang w:val="en-GB"/>
        </w:rPr>
        <w:t>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published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considerable number of cited papers. </w:t>
      </w:r>
      <w:r w:rsidR="00D35AF9" w:rsidRPr="000B2B1E">
        <w:rPr>
          <w:rFonts w:ascii="Times New Roman" w:hAnsi="Times New Roman" w:cs="Times New Roman"/>
          <w:sz w:val="24"/>
          <w:lang w:val="en-GB"/>
        </w:rPr>
        <w:t>Namely</w:t>
      </w:r>
      <w:r w:rsidR="005034E5" w:rsidRPr="000B2B1E">
        <w:rPr>
          <w:rFonts w:ascii="Times New Roman" w:hAnsi="Times New Roman" w:cs="Times New Roman"/>
          <w:sz w:val="24"/>
          <w:lang w:val="en-GB"/>
        </w:rPr>
        <w:t>,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0.2%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of their papers are in the group of highly-cited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(Top 1%), 5.1%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D35AF9" w:rsidRPr="000B2B1E">
        <w:rPr>
          <w:rFonts w:ascii="Times New Roman" w:hAnsi="Times New Roman" w:cs="Times New Roman"/>
          <w:sz w:val="24"/>
          <w:lang w:val="en-GB"/>
        </w:rPr>
        <w:t>second group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D35AF9" w:rsidRPr="000B2B1E">
        <w:rPr>
          <w:rFonts w:ascii="Times New Roman" w:hAnsi="Times New Roman" w:cs="Times New Roman"/>
          <w:sz w:val="24"/>
          <w:lang w:val="en-GB"/>
        </w:rPr>
        <w:t>papers which are in Top</w:t>
      </w:r>
      <w:r w:rsidR="00E008B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1-10%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by citations in </w:t>
      </w:r>
      <w:r w:rsidR="00E668D9" w:rsidRPr="000B2B1E">
        <w:rPr>
          <w:rFonts w:ascii="Times New Roman" w:hAnsi="Times New Roman" w:cs="Times New Roman"/>
          <w:sz w:val="24"/>
          <w:lang w:val="en-GB"/>
        </w:rPr>
        <w:t>research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 field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), 7.82% </w:t>
      </w:r>
      <w:r w:rsidR="00252563" w:rsidRPr="000B2B1E">
        <w:rPr>
          <w:rFonts w:ascii="Times New Roman" w:hAnsi="Times New Roman" w:cs="Times New Roman"/>
          <w:sz w:val="24"/>
          <w:lang w:val="en-GB"/>
        </w:rPr>
        <w:t xml:space="preserve">of papers are in group of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10-2</w:t>
      </w:r>
      <w:r w:rsidR="00252563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%, 29.93% </w:t>
      </w:r>
      <w:r w:rsidR="00E55B72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="00252563" w:rsidRPr="000B2B1E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52563" w:rsidRPr="000B2B1E">
        <w:rPr>
          <w:rFonts w:ascii="Times New Roman" w:hAnsi="Times New Roman" w:cs="Times New Roman"/>
          <w:sz w:val="24"/>
          <w:lang w:val="en-GB"/>
        </w:rPr>
        <w:t>category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Top 2</w:t>
      </w:r>
      <w:r w:rsidR="00252563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-50%, </w:t>
      </w:r>
      <w:r w:rsidR="00252563" w:rsidRPr="000B2B1E">
        <w:rPr>
          <w:rFonts w:ascii="Times New Roman" w:hAnsi="Times New Roman" w:cs="Times New Roman"/>
          <w:sz w:val="24"/>
          <w:lang w:val="en-GB"/>
        </w:rPr>
        <w:t>while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56.94%</w:t>
      </w:r>
      <w:r w:rsidR="00E008B6" w:rsidRPr="000B2B1E">
        <w:rPr>
          <w:rFonts w:ascii="Times New Roman" w:hAnsi="Times New Roman" w:cs="Times New Roman"/>
          <w:sz w:val="24"/>
          <w:lang w:val="en-GB"/>
        </w:rPr>
        <w:t xml:space="preserve"> are, based on citation, in bottom-half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. </w:t>
      </w:r>
      <w:r w:rsidR="009E14C3" w:rsidRPr="000B2B1E">
        <w:rPr>
          <w:rFonts w:ascii="Times New Roman" w:hAnsi="Times New Roman" w:cs="Times New Roman"/>
          <w:sz w:val="24"/>
          <w:lang w:val="en-GB"/>
        </w:rPr>
        <w:t>Among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the</w:t>
      </w:r>
      <w:r w:rsidR="009E14C3" w:rsidRPr="000B2B1E">
        <w:rPr>
          <w:rFonts w:ascii="Times New Roman" w:hAnsi="Times New Roman" w:cs="Times New Roman"/>
          <w:sz w:val="24"/>
          <w:lang w:val="en-GB"/>
        </w:rPr>
        <w:t xml:space="preserve"> leading institutes,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0B2B1E">
        <w:rPr>
          <w:rFonts w:ascii="Times New Roman" w:hAnsi="Times New Roman" w:cs="Times New Roman"/>
          <w:sz w:val="24"/>
          <w:lang w:val="en-GB"/>
        </w:rPr>
        <w:t>Institute for multidisciplinary studies performs quite well with only 49.47% of papers in bottom-half (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0B2B1E">
        <w:rPr>
          <w:rFonts w:ascii="Times New Roman" w:hAnsi="Times New Roman" w:cs="Times New Roman"/>
          <w:sz w:val="24"/>
          <w:lang w:val="en-GB"/>
        </w:rPr>
        <w:t xml:space="preserve">best result among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8C0B69" w:rsidRPr="000B2B1E">
        <w:rPr>
          <w:rFonts w:ascii="Times New Roman" w:hAnsi="Times New Roman" w:cs="Times New Roman"/>
          <w:sz w:val="24"/>
          <w:lang w:val="en-GB"/>
        </w:rPr>
        <w:t xml:space="preserve">leading institutes). On the other hand,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A0CCE" w:rsidRPr="000B2B1E">
        <w:rPr>
          <w:rFonts w:ascii="Times New Roman" w:hAnsi="Times New Roman" w:cs="Times New Roman"/>
          <w:sz w:val="24"/>
          <w:lang w:val="en-GB"/>
        </w:rPr>
        <w:t>F</w:t>
      </w:r>
      <w:r w:rsidR="000A582C" w:rsidRPr="000B2B1E">
        <w:rPr>
          <w:rFonts w:ascii="Times New Roman" w:hAnsi="Times New Roman" w:cs="Times New Roman"/>
          <w:sz w:val="24"/>
          <w:lang w:val="en-GB"/>
        </w:rPr>
        <w:t xml:space="preserve">aculties 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="00EA0CCE" w:rsidRPr="000B2B1E">
        <w:rPr>
          <w:rFonts w:ascii="Times New Roman" w:hAnsi="Times New Roman" w:cs="Times New Roman"/>
          <w:sz w:val="24"/>
          <w:lang w:val="en-GB"/>
        </w:rPr>
        <w:t>M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edical </w:t>
      </w:r>
      <w:r w:rsidR="00EA0CCE" w:rsidRPr="000B2B1E">
        <w:rPr>
          <w:rFonts w:ascii="Times New Roman" w:hAnsi="Times New Roman" w:cs="Times New Roman"/>
          <w:sz w:val="24"/>
          <w:lang w:val="en-GB"/>
        </w:rPr>
        <w:t>S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ciences are far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below </w:t>
      </w:r>
      <w:r w:rsidR="003C0F8E" w:rsidRPr="000B2B1E">
        <w:rPr>
          <w:rFonts w:ascii="Times New Roman" w:hAnsi="Times New Roman" w:cs="Times New Roman"/>
          <w:sz w:val="24"/>
          <w:lang w:val="en-GB"/>
        </w:rPr>
        <w:t>these results</w:t>
      </w:r>
      <w:r w:rsidR="00FD6A80" w:rsidRPr="000B2B1E">
        <w:rPr>
          <w:rFonts w:ascii="Times New Roman" w:hAnsi="Times New Roman" w:cs="Times New Roman"/>
          <w:sz w:val="24"/>
          <w:lang w:val="en-GB"/>
        </w:rPr>
        <w:t>,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 as can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be </w:t>
      </w:r>
      <w:r w:rsidRPr="000B2B1E">
        <w:rPr>
          <w:rFonts w:ascii="Times New Roman" w:hAnsi="Times New Roman" w:cs="Times New Roman"/>
          <w:sz w:val="24"/>
          <w:lang w:val="en-GB"/>
        </w:rPr>
        <w:t>see</w:t>
      </w:r>
      <w:r w:rsidR="00FD6A80" w:rsidRPr="000B2B1E">
        <w:rPr>
          <w:rFonts w:ascii="Times New Roman" w:hAnsi="Times New Roman" w:cs="Times New Roman"/>
          <w:sz w:val="24"/>
          <w:lang w:val="en-GB"/>
        </w:rPr>
        <w:t>n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3C0F8E" w:rsidRPr="000B2B1E">
        <w:rPr>
          <w:rFonts w:ascii="Times New Roman" w:hAnsi="Times New Roman" w:cs="Times New Roman"/>
          <w:sz w:val="24"/>
          <w:lang w:val="en-GB"/>
        </w:rPr>
        <w:t>from 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>b.</w:t>
      </w:r>
    </w:p>
    <w:p w14:paraId="476E8327" w14:textId="77777777" w:rsidR="005114A1" w:rsidRPr="000B2B1E" w:rsidRDefault="005114A1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231E0C3" w14:textId="6A6A5348" w:rsidR="005114A1" w:rsidRPr="000B2B1E" w:rsidRDefault="005114A1" w:rsidP="005114A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1a. Percentage of papers belonging to certain percentile groups (five leading institutes)</w:t>
      </w:r>
    </w:p>
    <w:p w14:paraId="56330A94" w14:textId="752E6CCD" w:rsidR="00C013DB" w:rsidRPr="000B2B1E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drawing>
          <wp:inline distT="0" distB="0" distL="0" distR="0" wp14:anchorId="6108525C" wp14:editId="1110F3A1">
            <wp:extent cx="5467350" cy="247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8CA91" w14:textId="77777777" w:rsidR="002C24B7" w:rsidRPr="000B2B1E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704771C" w14:textId="77777777" w:rsidR="0036305C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65D1523" w14:textId="77777777" w:rsidR="008A31FF" w:rsidRDefault="008A31FF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52D4A20" w14:textId="75F80176" w:rsidR="004708B6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1b. Percentage of papers belonging to certain percentile group (Faculties of Medical Sciences)</w:t>
      </w:r>
    </w:p>
    <w:p w14:paraId="2471FDA1" w14:textId="0B4F4E89" w:rsidR="0036305C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drawing>
          <wp:inline distT="0" distB="0" distL="0" distR="0" wp14:anchorId="764B35A5" wp14:editId="0B94541D">
            <wp:extent cx="5440995" cy="2952677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112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E769F" w14:textId="77777777" w:rsidR="0036305C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6400AABE" w14:textId="59662AA2" w:rsidR="00C013DB" w:rsidRPr="000B2B1E" w:rsidRDefault="0052730A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Although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Biology has, besides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Chemistry, the largest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number of published papers among </w:t>
      </w:r>
      <w:r w:rsidR="006A26C8" w:rsidRPr="000B2B1E">
        <w:rPr>
          <w:rFonts w:ascii="Times New Roman" w:hAnsi="Times New Roman" w:cs="Times New Roman"/>
          <w:sz w:val="24"/>
          <w:lang w:val="en-GB"/>
        </w:rPr>
        <w:t>Faculties of Sciences and Mathematics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0702F6" w:rsidRPr="000B2B1E">
        <w:rPr>
          <w:rFonts w:ascii="Times New Roman" w:hAnsi="Times New Roman" w:cs="Times New Roman"/>
          <w:sz w:val="24"/>
          <w:lang w:val="en-GB"/>
        </w:rPr>
        <w:t>they are less cited than the other faculties from the group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 with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70.14%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of papers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origination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0B2B1E">
        <w:rPr>
          <w:rFonts w:ascii="Times New Roman" w:hAnsi="Times New Roman" w:cs="Times New Roman"/>
          <w:sz w:val="24"/>
          <w:lang w:val="en-GB"/>
        </w:rPr>
        <w:t>Faculty of Biology</w:t>
      </w:r>
      <w:r w:rsidR="003433B1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appearing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in bottom-half of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0B2B1E">
        <w:rPr>
          <w:rFonts w:ascii="Times New Roman" w:hAnsi="Times New Roman" w:cs="Times New Roman"/>
          <w:sz w:val="24"/>
          <w:lang w:val="en-GB"/>
        </w:rPr>
        <w:t>citation metrics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565B81">
        <w:rPr>
          <w:rFonts w:ascii="Times New Roman" w:hAnsi="Times New Roman" w:cs="Times New Roman"/>
          <w:sz w:val="24"/>
          <w:lang w:val="en-GB"/>
        </w:rPr>
        <w:t>Figure</w:t>
      </w:r>
      <w:r w:rsidR="00D127C2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c). </w:t>
      </w:r>
      <w:r w:rsidR="00E2263A" w:rsidRPr="000B2B1E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0B2B1E">
        <w:rPr>
          <w:rFonts w:ascii="Times New Roman" w:hAnsi="Times New Roman" w:cs="Times New Roman"/>
          <w:sz w:val="24"/>
          <w:lang w:val="en-GB"/>
        </w:rPr>
        <w:t>Faculty of Technology and Metallurgy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2C24B7" w:rsidRPr="000B2B1E">
        <w:rPr>
          <w:rFonts w:ascii="Times New Roman" w:hAnsi="Times New Roman" w:cs="Times New Roman"/>
          <w:sz w:val="24"/>
          <w:lang w:val="en-GB"/>
        </w:rPr>
        <w:t>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d)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is </w:t>
      </w:r>
      <w:r w:rsidR="00375E1A" w:rsidRPr="000B2B1E">
        <w:rPr>
          <w:rFonts w:ascii="Times New Roman" w:hAnsi="Times New Roman" w:cs="Times New Roman"/>
          <w:sz w:val="24"/>
          <w:lang w:val="en-GB"/>
        </w:rPr>
        <w:t>shown to have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not only </w:t>
      </w:r>
      <w:proofErr w:type="gramStart"/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F50983" w:rsidRPr="000B2B1E">
        <w:rPr>
          <w:rFonts w:ascii="Times New Roman" w:hAnsi="Times New Roman" w:cs="Times New Roman"/>
          <w:sz w:val="24"/>
          <w:lang w:val="en-GB"/>
        </w:rPr>
        <w:t>large number of</w:t>
      </w:r>
      <w:proofErr w:type="gramEnd"/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published papers but </w:t>
      </w:r>
      <w:r w:rsidR="00375E1A" w:rsidRPr="000B2B1E">
        <w:rPr>
          <w:rFonts w:ascii="Times New Roman" w:hAnsi="Times New Roman" w:cs="Times New Roman"/>
          <w:sz w:val="24"/>
          <w:lang w:val="en-GB"/>
        </w:rPr>
        <w:t>also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a high citation score of those papers. In particular,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0.43%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group of best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(Top 1%), 7.04%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of papers are in second group </w:t>
      </w:r>
      <w:r w:rsidR="00C013DB" w:rsidRPr="000B2B1E">
        <w:rPr>
          <w:rFonts w:ascii="Times New Roman" w:hAnsi="Times New Roman" w:cs="Times New Roman"/>
          <w:sz w:val="24"/>
          <w:lang w:val="en-GB"/>
        </w:rPr>
        <w:t>(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papers rated as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Top 1-10%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by citation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in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certain </w:t>
      </w:r>
      <w:r w:rsidR="00E668D9" w:rsidRPr="000B2B1E">
        <w:rPr>
          <w:rFonts w:ascii="Times New Roman" w:hAnsi="Times New Roman" w:cs="Times New Roman"/>
          <w:sz w:val="24"/>
          <w:lang w:val="en-GB"/>
        </w:rPr>
        <w:t>research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field </w:t>
      </w:r>
      <w:r w:rsidR="00F50983" w:rsidRPr="000B2B1E">
        <w:rPr>
          <w:rFonts w:ascii="Times New Roman" w:hAnsi="Times New Roman" w:cs="Times New Roman"/>
          <w:sz w:val="24"/>
          <w:lang w:val="en-GB"/>
        </w:rPr>
        <w:t>for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 a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particular </w:t>
      </w:r>
      <w:r w:rsidR="002B67D8" w:rsidRPr="000B2B1E">
        <w:rPr>
          <w:rFonts w:ascii="Times New Roman" w:hAnsi="Times New Roman" w:cs="Times New Roman"/>
          <w:sz w:val="24"/>
          <w:lang w:val="en-GB"/>
        </w:rPr>
        <w:t>year)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9.61%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published by researchers 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="006A26C8" w:rsidRPr="000B2B1E">
        <w:rPr>
          <w:rFonts w:ascii="Times New Roman" w:hAnsi="Times New Roman" w:cs="Times New Roman"/>
          <w:sz w:val="24"/>
          <w:lang w:val="en-GB"/>
        </w:rPr>
        <w:t>are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in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10-2</w:t>
      </w:r>
      <w:r w:rsidR="006602FA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%, 28.82%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2</w:t>
      </w:r>
      <w:r w:rsidR="006602FA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-50%,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while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54.11%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are placed in bottom-half. </w:t>
      </w:r>
      <w:r w:rsidR="00375E1A" w:rsidRPr="000B2B1E">
        <w:rPr>
          <w:rFonts w:ascii="Times New Roman" w:hAnsi="Times New Roman" w:cs="Times New Roman"/>
          <w:sz w:val="24"/>
          <w:lang w:val="en-GB"/>
        </w:rPr>
        <w:t>The r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esults 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remaining Technology and Engineering Sciences </w:t>
      </w:r>
      <w:r w:rsidR="006A26C8" w:rsidRPr="000B2B1E">
        <w:rPr>
          <w:rFonts w:ascii="Times New Roman" w:hAnsi="Times New Roman" w:cs="Times New Roman"/>
          <w:sz w:val="24"/>
          <w:lang w:val="en-GB"/>
        </w:rPr>
        <w:t>F</w:t>
      </w:r>
      <w:r w:rsidR="002C24B7" w:rsidRPr="000B2B1E">
        <w:rPr>
          <w:rFonts w:ascii="Times New Roman" w:hAnsi="Times New Roman" w:cs="Times New Roman"/>
          <w:sz w:val="24"/>
          <w:lang w:val="en-GB"/>
        </w:rPr>
        <w:t>aculties are presented in 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>e.</w:t>
      </w:r>
    </w:p>
    <w:p w14:paraId="4D1980FF" w14:textId="77777777" w:rsidR="002C24B7" w:rsidRPr="000B2B1E" w:rsidRDefault="002C24B7" w:rsidP="002C24B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DF166C9" w14:textId="77777777" w:rsidR="0036305C" w:rsidRDefault="0036305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7516576E" w14:textId="4B2DFA8A" w:rsidR="00C013DB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1c. Percentage of papers belonging to certain percentile group (Faculties of Sciences and Mathematics)</w:t>
      </w:r>
    </w:p>
    <w:p w14:paraId="2B25BDC4" w14:textId="3A5C6696" w:rsidR="0036305C" w:rsidRDefault="0036305C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drawing>
          <wp:inline distT="0" distB="0" distL="0" distR="0" wp14:anchorId="0C4AC85D" wp14:editId="4067B1EB">
            <wp:extent cx="54927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84BEE" w14:textId="55E5AF38" w:rsidR="003B2B60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77FD54D" w14:textId="2E26E2A2" w:rsidR="003B2B60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1d. Percentage of papers belonging to certain percentile group (Faculties of Technology and Engineering Sciences - top 5)</w:t>
      </w:r>
    </w:p>
    <w:p w14:paraId="199FDFE2" w14:textId="6CF08FEA" w:rsidR="002C24B7" w:rsidRPr="000B2B1E" w:rsidRDefault="0036305C" w:rsidP="002C2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drawing>
          <wp:inline distT="0" distB="0" distL="0" distR="0" wp14:anchorId="4EA1CE15" wp14:editId="14AFD499">
            <wp:extent cx="5480050" cy="2432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5909" w14:textId="772D0103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4D92B0E" w14:textId="77777777" w:rsidR="002C24B7" w:rsidRPr="000B2B1E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CBFA6DA" w14:textId="77777777" w:rsidR="003B2B60" w:rsidRDefault="003B2B60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204FACEB" w14:textId="6C3BC9F5" w:rsidR="00C013DB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S1</w:t>
      </w:r>
      <w:r w:rsidRPr="000B2B1E">
        <w:rPr>
          <w:rFonts w:ascii="Times New Roman" w:hAnsi="Times New Roman" w:cs="Times New Roman"/>
          <w:sz w:val="24"/>
          <w:lang w:val="en-GB"/>
        </w:rPr>
        <w:t>e. Percentage of papers belonging to certain percentile group (Faculties of Technology and Engineering Sciences - rest)</w:t>
      </w:r>
    </w:p>
    <w:p w14:paraId="1E11D68A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9F6A7F0" w14:textId="3AC354CF" w:rsidR="003B2B60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7C4503F" wp14:editId="2ECA515B">
            <wp:extent cx="5473700" cy="248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37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2F318" w14:textId="77777777" w:rsidR="003B2B60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DF63BC" w14:textId="38278FC3" w:rsidR="00821CB4" w:rsidRPr="000B2B1E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2B1E">
        <w:rPr>
          <w:rFonts w:ascii="Times New Roman" w:hAnsi="Times New Roman" w:cs="Times New Roman"/>
          <w:sz w:val="24"/>
          <w:szCs w:val="24"/>
          <w:lang w:val="en-GB"/>
        </w:rPr>
        <w:t xml:space="preserve">Particularly impressive is the performance of Faculty of </w:t>
      </w:r>
      <w:r w:rsidR="00477610" w:rsidRPr="000B2B1E">
        <w:rPr>
          <w:rFonts w:ascii="Times New Roman" w:hAnsi="Times New Roman" w:cs="Times New Roman"/>
          <w:sz w:val="24"/>
          <w:szCs w:val="24"/>
          <w:lang w:val="en-GB"/>
        </w:rPr>
        <w:t>Mathematics</w:t>
      </w:r>
      <w:r w:rsidRPr="000B2B1E">
        <w:rPr>
          <w:rFonts w:ascii="Times New Roman" w:hAnsi="Times New Roman" w:cs="Times New Roman"/>
          <w:sz w:val="24"/>
          <w:szCs w:val="24"/>
          <w:lang w:val="en-GB"/>
        </w:rPr>
        <w:t xml:space="preserve"> and Faculty of Mechanical Engineering which </w:t>
      </w:r>
      <w:r w:rsidR="00477610" w:rsidRPr="000B2B1E">
        <w:rPr>
          <w:rFonts w:ascii="Times New Roman" w:hAnsi="Times New Roman" w:cs="Times New Roman"/>
          <w:sz w:val="24"/>
          <w:szCs w:val="24"/>
          <w:lang w:val="en-GB"/>
        </w:rPr>
        <w:t>exceed in terms of Top 1% publications, with 2.38% and 2.49% respectively.</w:t>
      </w:r>
    </w:p>
    <w:p w14:paraId="14F12726" w14:textId="027792E8" w:rsidR="00E668D9" w:rsidRPr="000B2B1E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668D9" w:rsidRPr="000B2B1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254A" w14:textId="77777777" w:rsidR="009275FF" w:rsidRDefault="009275FF" w:rsidP="00C013DB">
      <w:pPr>
        <w:spacing w:after="0" w:line="240" w:lineRule="auto"/>
      </w:pPr>
      <w:r>
        <w:separator/>
      </w:r>
    </w:p>
  </w:endnote>
  <w:endnote w:type="continuationSeparator" w:id="0">
    <w:p w14:paraId="01CCB42B" w14:textId="77777777" w:rsidR="009275FF" w:rsidRDefault="009275FF" w:rsidP="00C0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91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07FB7" w14:textId="6FE05E4B" w:rsidR="002F3D57" w:rsidRDefault="002F3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771C5" w14:textId="77777777" w:rsidR="002F3D57" w:rsidRDefault="002F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E383" w14:textId="77777777" w:rsidR="009275FF" w:rsidRDefault="009275FF" w:rsidP="00C013DB">
      <w:pPr>
        <w:spacing w:after="0" w:line="240" w:lineRule="auto"/>
      </w:pPr>
      <w:r>
        <w:separator/>
      </w:r>
    </w:p>
  </w:footnote>
  <w:footnote w:type="continuationSeparator" w:id="0">
    <w:p w14:paraId="461AE9D0" w14:textId="77777777" w:rsidR="009275FF" w:rsidRDefault="009275FF" w:rsidP="00C013DB">
      <w:pPr>
        <w:spacing w:after="0" w:line="240" w:lineRule="auto"/>
      </w:pPr>
      <w:r>
        <w:continuationSeparator/>
      </w:r>
    </w:p>
  </w:footnote>
  <w:footnote w:id="1">
    <w:p w14:paraId="0CAB58BF" w14:textId="77777777" w:rsidR="00AA4017" w:rsidRPr="005F52D7" w:rsidRDefault="00AA4017" w:rsidP="00AA4017">
      <w:pPr>
        <w:pStyle w:val="FootnoteText"/>
        <w:jc w:val="both"/>
        <w:rPr>
          <w:rFonts w:ascii="Times New Roman" w:hAnsi="Times New Roman" w:cs="Times New Roman"/>
        </w:rPr>
      </w:pPr>
      <w:r w:rsidRPr="005F52D7">
        <w:rPr>
          <w:rStyle w:val="FootnoteReference"/>
          <w:rFonts w:ascii="Times New Roman" w:hAnsi="Times New Roman" w:cs="Times New Roman"/>
        </w:rPr>
        <w:footnoteRef/>
      </w:r>
      <w:r w:rsidRPr="005F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F52D7">
        <w:rPr>
          <w:rFonts w:ascii="Times New Roman" w:hAnsi="Times New Roman" w:cs="Times New Roman"/>
        </w:rPr>
        <w:t xml:space="preserve">Faculty of Architecture and </w:t>
      </w:r>
      <w:r>
        <w:rPr>
          <w:rFonts w:ascii="Times New Roman" w:hAnsi="Times New Roman" w:cs="Times New Roman"/>
        </w:rPr>
        <w:t>F</w:t>
      </w:r>
      <w:r w:rsidRPr="005F52D7">
        <w:rPr>
          <w:rFonts w:ascii="Times New Roman" w:hAnsi="Times New Roman" w:cs="Times New Roman"/>
        </w:rPr>
        <w:t xml:space="preserve">aculties of </w:t>
      </w:r>
      <w:r>
        <w:rPr>
          <w:rFonts w:ascii="Times New Roman" w:hAnsi="Times New Roman" w:cs="Times New Roman"/>
        </w:rPr>
        <w:t>S</w:t>
      </w:r>
      <w:r w:rsidRPr="005F52D7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 xml:space="preserve"> Sciences and H</w:t>
      </w:r>
      <w:r w:rsidRPr="005F52D7">
        <w:rPr>
          <w:rFonts w:ascii="Times New Roman" w:hAnsi="Times New Roman" w:cs="Times New Roman"/>
        </w:rPr>
        <w:t>umani</w:t>
      </w:r>
      <w:r>
        <w:rPr>
          <w:rFonts w:ascii="Times New Roman" w:hAnsi="Times New Roman" w:cs="Times New Roman"/>
        </w:rPr>
        <w:t>ties</w:t>
      </w:r>
      <w:r w:rsidRPr="005F52D7">
        <w:rPr>
          <w:rFonts w:ascii="Times New Roman" w:hAnsi="Times New Roman" w:cs="Times New Roman"/>
        </w:rPr>
        <w:t xml:space="preserve"> group have not been presented </w:t>
      </w:r>
      <w:r>
        <w:rPr>
          <w:rFonts w:ascii="Times New Roman" w:hAnsi="Times New Roman" w:cs="Times New Roman"/>
        </w:rPr>
        <w:t>due to the relatively small number of published papers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A31"/>
    <w:multiLevelType w:val="multilevel"/>
    <w:tmpl w:val="F6C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34242"/>
    <w:multiLevelType w:val="hybridMultilevel"/>
    <w:tmpl w:val="4B822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NTU3MTU2tAAiQyUdpeDU4uLM/DyQAiPjWgA8ti/1LQAAAA=="/>
  </w:docVars>
  <w:rsids>
    <w:rsidRoot w:val="00527DC0"/>
    <w:rsid w:val="000174DB"/>
    <w:rsid w:val="0003253C"/>
    <w:rsid w:val="00033F36"/>
    <w:rsid w:val="000412C1"/>
    <w:rsid w:val="000426B8"/>
    <w:rsid w:val="00043048"/>
    <w:rsid w:val="000516C0"/>
    <w:rsid w:val="000543E8"/>
    <w:rsid w:val="000702F6"/>
    <w:rsid w:val="00071786"/>
    <w:rsid w:val="0007293F"/>
    <w:rsid w:val="00091D9D"/>
    <w:rsid w:val="000A0AEA"/>
    <w:rsid w:val="000A582C"/>
    <w:rsid w:val="000B2B1E"/>
    <w:rsid w:val="000C2DB6"/>
    <w:rsid w:val="000E7F4D"/>
    <w:rsid w:val="000F6D36"/>
    <w:rsid w:val="001737CA"/>
    <w:rsid w:val="001A3069"/>
    <w:rsid w:val="001A6CD0"/>
    <w:rsid w:val="001A76F2"/>
    <w:rsid w:val="001D0DEC"/>
    <w:rsid w:val="001D3100"/>
    <w:rsid w:val="002009FA"/>
    <w:rsid w:val="0020136D"/>
    <w:rsid w:val="00203065"/>
    <w:rsid w:val="002172FE"/>
    <w:rsid w:val="00231BF6"/>
    <w:rsid w:val="00232568"/>
    <w:rsid w:val="00252563"/>
    <w:rsid w:val="00271E7E"/>
    <w:rsid w:val="00296D39"/>
    <w:rsid w:val="002A1EA7"/>
    <w:rsid w:val="002B1382"/>
    <w:rsid w:val="002B67D8"/>
    <w:rsid w:val="002C0AB5"/>
    <w:rsid w:val="002C24B7"/>
    <w:rsid w:val="002C7BAE"/>
    <w:rsid w:val="002F3D57"/>
    <w:rsid w:val="00307C08"/>
    <w:rsid w:val="003334E1"/>
    <w:rsid w:val="00335696"/>
    <w:rsid w:val="00335B50"/>
    <w:rsid w:val="003433B1"/>
    <w:rsid w:val="003464CC"/>
    <w:rsid w:val="00352478"/>
    <w:rsid w:val="003604A1"/>
    <w:rsid w:val="0036305C"/>
    <w:rsid w:val="003653E2"/>
    <w:rsid w:val="00366DB2"/>
    <w:rsid w:val="00375804"/>
    <w:rsid w:val="00375E1A"/>
    <w:rsid w:val="003870F3"/>
    <w:rsid w:val="0038756D"/>
    <w:rsid w:val="003B2B60"/>
    <w:rsid w:val="003C0F8E"/>
    <w:rsid w:val="003C47E2"/>
    <w:rsid w:val="003D2BED"/>
    <w:rsid w:val="003D6846"/>
    <w:rsid w:val="003F1CE5"/>
    <w:rsid w:val="004100B0"/>
    <w:rsid w:val="0041039F"/>
    <w:rsid w:val="004356D6"/>
    <w:rsid w:val="0044050B"/>
    <w:rsid w:val="0046005F"/>
    <w:rsid w:val="004708B6"/>
    <w:rsid w:val="00477610"/>
    <w:rsid w:val="0049304D"/>
    <w:rsid w:val="004945F4"/>
    <w:rsid w:val="004A7919"/>
    <w:rsid w:val="004B1ED4"/>
    <w:rsid w:val="004D359D"/>
    <w:rsid w:val="00500E40"/>
    <w:rsid w:val="00501C14"/>
    <w:rsid w:val="005034E5"/>
    <w:rsid w:val="00505B30"/>
    <w:rsid w:val="005110A5"/>
    <w:rsid w:val="005114A1"/>
    <w:rsid w:val="00515398"/>
    <w:rsid w:val="0051729E"/>
    <w:rsid w:val="005211B9"/>
    <w:rsid w:val="00523EA5"/>
    <w:rsid w:val="0052730A"/>
    <w:rsid w:val="0052757A"/>
    <w:rsid w:val="00527DC0"/>
    <w:rsid w:val="0053048F"/>
    <w:rsid w:val="005633A5"/>
    <w:rsid w:val="00565B81"/>
    <w:rsid w:val="00565DD0"/>
    <w:rsid w:val="00566811"/>
    <w:rsid w:val="00567190"/>
    <w:rsid w:val="00581A26"/>
    <w:rsid w:val="00583218"/>
    <w:rsid w:val="0058342C"/>
    <w:rsid w:val="00593173"/>
    <w:rsid w:val="00595CCE"/>
    <w:rsid w:val="005A0FD8"/>
    <w:rsid w:val="005A4424"/>
    <w:rsid w:val="005A6F98"/>
    <w:rsid w:val="005B0D9C"/>
    <w:rsid w:val="005B58B9"/>
    <w:rsid w:val="005D2D45"/>
    <w:rsid w:val="005F52D7"/>
    <w:rsid w:val="005F5719"/>
    <w:rsid w:val="00621968"/>
    <w:rsid w:val="00622C85"/>
    <w:rsid w:val="0062441A"/>
    <w:rsid w:val="006362BA"/>
    <w:rsid w:val="006451A6"/>
    <w:rsid w:val="006602FA"/>
    <w:rsid w:val="00665396"/>
    <w:rsid w:val="00665C86"/>
    <w:rsid w:val="00666395"/>
    <w:rsid w:val="00677C2C"/>
    <w:rsid w:val="00684F9C"/>
    <w:rsid w:val="00690316"/>
    <w:rsid w:val="006A26C8"/>
    <w:rsid w:val="006A4D84"/>
    <w:rsid w:val="006A799B"/>
    <w:rsid w:val="006B663D"/>
    <w:rsid w:val="006B78A3"/>
    <w:rsid w:val="006D3123"/>
    <w:rsid w:val="007151BB"/>
    <w:rsid w:val="00731745"/>
    <w:rsid w:val="00735D68"/>
    <w:rsid w:val="007757CF"/>
    <w:rsid w:val="0078473E"/>
    <w:rsid w:val="0079323C"/>
    <w:rsid w:val="007948DD"/>
    <w:rsid w:val="007B50C3"/>
    <w:rsid w:val="007B6CFA"/>
    <w:rsid w:val="007D3174"/>
    <w:rsid w:val="007F07CF"/>
    <w:rsid w:val="00800536"/>
    <w:rsid w:val="00821CB4"/>
    <w:rsid w:val="0083296D"/>
    <w:rsid w:val="008356E7"/>
    <w:rsid w:val="008376C2"/>
    <w:rsid w:val="0084590F"/>
    <w:rsid w:val="00850230"/>
    <w:rsid w:val="00856A6B"/>
    <w:rsid w:val="008677DD"/>
    <w:rsid w:val="008A18B7"/>
    <w:rsid w:val="008A31FF"/>
    <w:rsid w:val="008C0B69"/>
    <w:rsid w:val="008C663C"/>
    <w:rsid w:val="008D23C4"/>
    <w:rsid w:val="008F0D6A"/>
    <w:rsid w:val="008F6D2F"/>
    <w:rsid w:val="009275FF"/>
    <w:rsid w:val="00931F31"/>
    <w:rsid w:val="009324F6"/>
    <w:rsid w:val="00937192"/>
    <w:rsid w:val="00940C06"/>
    <w:rsid w:val="00940ECB"/>
    <w:rsid w:val="009439D0"/>
    <w:rsid w:val="00947C6D"/>
    <w:rsid w:val="009C2FCE"/>
    <w:rsid w:val="009C73A2"/>
    <w:rsid w:val="009E14C3"/>
    <w:rsid w:val="009F754C"/>
    <w:rsid w:val="00A0693C"/>
    <w:rsid w:val="00A12AB6"/>
    <w:rsid w:val="00A27580"/>
    <w:rsid w:val="00A30808"/>
    <w:rsid w:val="00A30935"/>
    <w:rsid w:val="00A33586"/>
    <w:rsid w:val="00A346ED"/>
    <w:rsid w:val="00A355BB"/>
    <w:rsid w:val="00A372A3"/>
    <w:rsid w:val="00A37A40"/>
    <w:rsid w:val="00A5130F"/>
    <w:rsid w:val="00A570CB"/>
    <w:rsid w:val="00AA03A4"/>
    <w:rsid w:val="00AA4017"/>
    <w:rsid w:val="00AA447C"/>
    <w:rsid w:val="00AB1233"/>
    <w:rsid w:val="00AB15C9"/>
    <w:rsid w:val="00AB3843"/>
    <w:rsid w:val="00AD1E29"/>
    <w:rsid w:val="00B4039B"/>
    <w:rsid w:val="00B51DDD"/>
    <w:rsid w:val="00B60F46"/>
    <w:rsid w:val="00B63C5D"/>
    <w:rsid w:val="00B90E78"/>
    <w:rsid w:val="00B95FB4"/>
    <w:rsid w:val="00BA037F"/>
    <w:rsid w:val="00BD3AAC"/>
    <w:rsid w:val="00BE43CA"/>
    <w:rsid w:val="00BF7C4C"/>
    <w:rsid w:val="00C013DB"/>
    <w:rsid w:val="00C346D3"/>
    <w:rsid w:val="00C35E79"/>
    <w:rsid w:val="00C60BBB"/>
    <w:rsid w:val="00CB3325"/>
    <w:rsid w:val="00CC0214"/>
    <w:rsid w:val="00CC080C"/>
    <w:rsid w:val="00CC35B5"/>
    <w:rsid w:val="00CE5F22"/>
    <w:rsid w:val="00D0597C"/>
    <w:rsid w:val="00D07063"/>
    <w:rsid w:val="00D127C2"/>
    <w:rsid w:val="00D25F9B"/>
    <w:rsid w:val="00D262B8"/>
    <w:rsid w:val="00D35AF9"/>
    <w:rsid w:val="00D423AA"/>
    <w:rsid w:val="00D42FF7"/>
    <w:rsid w:val="00D5288B"/>
    <w:rsid w:val="00D66A55"/>
    <w:rsid w:val="00D70B35"/>
    <w:rsid w:val="00D81169"/>
    <w:rsid w:val="00DA5EAB"/>
    <w:rsid w:val="00DB69D5"/>
    <w:rsid w:val="00DC472E"/>
    <w:rsid w:val="00DE63DE"/>
    <w:rsid w:val="00DE6E96"/>
    <w:rsid w:val="00E008B6"/>
    <w:rsid w:val="00E12EC0"/>
    <w:rsid w:val="00E21228"/>
    <w:rsid w:val="00E2263A"/>
    <w:rsid w:val="00E4292C"/>
    <w:rsid w:val="00E55B72"/>
    <w:rsid w:val="00E616C5"/>
    <w:rsid w:val="00E668D9"/>
    <w:rsid w:val="00E73163"/>
    <w:rsid w:val="00E73942"/>
    <w:rsid w:val="00E73C47"/>
    <w:rsid w:val="00EA0CCE"/>
    <w:rsid w:val="00EA200C"/>
    <w:rsid w:val="00EA5A57"/>
    <w:rsid w:val="00EA5C87"/>
    <w:rsid w:val="00EC1B33"/>
    <w:rsid w:val="00EF27B5"/>
    <w:rsid w:val="00EF63E8"/>
    <w:rsid w:val="00F17481"/>
    <w:rsid w:val="00F31711"/>
    <w:rsid w:val="00F466B7"/>
    <w:rsid w:val="00F50983"/>
    <w:rsid w:val="00F60D11"/>
    <w:rsid w:val="00F719CB"/>
    <w:rsid w:val="00F96035"/>
    <w:rsid w:val="00FB5930"/>
    <w:rsid w:val="00FC2C75"/>
    <w:rsid w:val="00FD6A80"/>
    <w:rsid w:val="00FF1FA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3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6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3D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3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13DB"/>
    <w:rPr>
      <w:vertAlign w:val="superscript"/>
    </w:rPr>
  </w:style>
  <w:style w:type="character" w:customStyle="1" w:styleId="fontstyle01">
    <w:name w:val="fontstyle01"/>
    <w:basedOn w:val="DefaultParagraphFont"/>
    <w:rsid w:val="00A27580"/>
    <w:rPr>
      <w:rFonts w:ascii="Calibri" w:hAnsi="Calibri" w:cs="Calibri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A27580"/>
    <w:rPr>
      <w:rFonts w:ascii="Calibri-Italic" w:hAnsi="Calibri-Italic" w:hint="default"/>
      <w:b w:val="0"/>
      <w:bCs w:val="0"/>
      <w:i/>
      <w:iCs/>
      <w:color w:val="242021"/>
      <w:sz w:val="16"/>
      <w:szCs w:val="16"/>
    </w:rPr>
  </w:style>
  <w:style w:type="table" w:styleId="TableGrid">
    <w:name w:val="Table Grid"/>
    <w:basedOn w:val="TableNormal"/>
    <w:uiPriority w:val="39"/>
    <w:rsid w:val="003334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D"/>
  </w:style>
  <w:style w:type="paragraph" w:styleId="Footer">
    <w:name w:val="footer"/>
    <w:basedOn w:val="Normal"/>
    <w:link w:val="Foot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D"/>
  </w:style>
  <w:style w:type="paragraph" w:styleId="ListParagraph">
    <w:name w:val="List Paragraph"/>
    <w:basedOn w:val="Normal"/>
    <w:uiPriority w:val="34"/>
    <w:qFormat/>
    <w:rsid w:val="000A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228E-3C5D-4601-8DD3-42D247A7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2018-04-13T09:13:00Z</dcterms:created>
  <dcterms:modified xsi:type="dcterms:W3CDTF">2018-05-13T09:35:00Z</dcterms:modified>
</cp:coreProperties>
</file>