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EB5B" w14:textId="35481492" w:rsidR="00375804" w:rsidRPr="002C4021" w:rsidRDefault="004708B6" w:rsidP="003758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2C4021">
        <w:rPr>
          <w:rFonts w:ascii="Times New Roman" w:hAnsi="Times New Roman" w:cs="Times New Roman"/>
          <w:b/>
          <w:sz w:val="24"/>
          <w:lang w:val="en-GB"/>
        </w:rPr>
        <w:t>Supplementary Materia</w:t>
      </w:r>
      <w:r w:rsidR="00EA18CD">
        <w:rPr>
          <w:rFonts w:ascii="Times New Roman" w:hAnsi="Times New Roman" w:cs="Times New Roman"/>
          <w:b/>
          <w:sz w:val="24"/>
          <w:lang w:val="en-GB"/>
        </w:rPr>
        <w:t>l</w:t>
      </w:r>
      <w:bookmarkStart w:id="0" w:name="_GoBack"/>
      <w:bookmarkEnd w:id="0"/>
    </w:p>
    <w:p w14:paraId="193AABBE" w14:textId="77777777" w:rsidR="00375804" w:rsidRPr="002C4021" w:rsidRDefault="00375804" w:rsidP="00A37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3C47D0DB" w14:textId="007DAFCF" w:rsidR="00375804" w:rsidRPr="002C4021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2C4021">
        <w:rPr>
          <w:rFonts w:ascii="Times New Roman" w:hAnsi="Times New Roman" w:cs="Times New Roman"/>
          <w:b/>
          <w:sz w:val="24"/>
          <w:lang w:val="en-GB"/>
        </w:rPr>
        <w:t>Evaluating the scientific performance of institutions within the university: an example from the University of Belgrade</w:t>
      </w:r>
      <w:r w:rsidR="006F266B" w:rsidRPr="002C4021">
        <w:rPr>
          <w:rFonts w:ascii="Times New Roman" w:hAnsi="Times New Roman" w:cs="Times New Roman"/>
          <w:b/>
          <w:sz w:val="24"/>
          <w:lang w:val="en-GB"/>
        </w:rPr>
        <w:t>’ leading institutions</w:t>
      </w:r>
    </w:p>
    <w:p w14:paraId="2A2445AA" w14:textId="77777777" w:rsidR="00375804" w:rsidRPr="002C4021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4C915802" w14:textId="77777777" w:rsidR="00375804" w:rsidRPr="002C4021" w:rsidRDefault="00375804" w:rsidP="00375804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EEA28FA" w14:textId="77777777" w:rsidR="00375804" w:rsidRPr="002C4021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>IVAN PILČEVIĆ</w:t>
      </w:r>
      <w:r w:rsidRPr="002C4021">
        <w:rPr>
          <w:rFonts w:ascii="Times New Roman" w:hAnsi="Times New Roman" w:cs="Times New Roman"/>
          <w:sz w:val="24"/>
          <w:vertAlign w:val="superscript"/>
          <w:lang w:val="en-GB"/>
        </w:rPr>
        <w:t>1*</w:t>
      </w:r>
      <w:r w:rsidRPr="002C4021">
        <w:rPr>
          <w:rFonts w:ascii="Times New Roman" w:hAnsi="Times New Roman" w:cs="Times New Roman"/>
          <w:sz w:val="24"/>
          <w:lang w:val="en-GB"/>
        </w:rPr>
        <w:t>, VELJKO JEREMIĆ</w:t>
      </w:r>
      <w:r w:rsidRPr="002C4021">
        <w:rPr>
          <w:rFonts w:ascii="Times New Roman" w:hAnsi="Times New Roman" w:cs="Times New Roman"/>
          <w:sz w:val="24"/>
          <w:vertAlign w:val="superscript"/>
          <w:lang w:val="en-GB"/>
        </w:rPr>
        <w:t>1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 and DUŠAN VUJOŠEVIĆ</w:t>
      </w:r>
      <w:r w:rsidRPr="002C4021">
        <w:rPr>
          <w:rFonts w:ascii="Times New Roman" w:hAnsi="Times New Roman" w:cs="Times New Roman"/>
          <w:sz w:val="24"/>
          <w:vertAlign w:val="superscript"/>
          <w:lang w:val="en-GB"/>
        </w:rPr>
        <w:t>2</w:t>
      </w:r>
    </w:p>
    <w:p w14:paraId="7833005E" w14:textId="77777777" w:rsidR="00375804" w:rsidRPr="002C4021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2C4021">
        <w:rPr>
          <w:rFonts w:ascii="Times New Roman" w:hAnsi="Times New Roman" w:cs="Times New Roman"/>
          <w:i/>
          <w:sz w:val="24"/>
          <w:vertAlign w:val="superscript"/>
          <w:lang w:val="en-GB"/>
        </w:rPr>
        <w:t>1</w:t>
      </w:r>
      <w:r w:rsidRPr="002C4021">
        <w:rPr>
          <w:rFonts w:ascii="Times New Roman" w:hAnsi="Times New Roman" w:cs="Times New Roman"/>
          <w:i/>
          <w:sz w:val="24"/>
          <w:lang w:val="en-GB"/>
        </w:rPr>
        <w:t>Faculty of Organizational Sciences, University of Belgrade</w:t>
      </w:r>
    </w:p>
    <w:p w14:paraId="57A21899" w14:textId="77777777" w:rsidR="00375804" w:rsidRPr="002C4021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vertAlign w:val="superscript"/>
          <w:lang w:val="en-GB"/>
        </w:rPr>
      </w:pPr>
      <w:r w:rsidRPr="002C4021">
        <w:rPr>
          <w:rFonts w:ascii="Times New Roman" w:hAnsi="Times New Roman" w:cs="Times New Roman"/>
          <w:i/>
          <w:sz w:val="24"/>
          <w:vertAlign w:val="superscript"/>
          <w:lang w:val="en-GB"/>
        </w:rPr>
        <w:t>2</w:t>
      </w:r>
      <w:r w:rsidRPr="002C4021">
        <w:rPr>
          <w:rFonts w:ascii="Times New Roman" w:hAnsi="Times New Roman" w:cs="Times New Roman"/>
          <w:i/>
          <w:sz w:val="24"/>
          <w:lang w:val="en-GB"/>
        </w:rPr>
        <w:t>The Faculty of Computer Science, Union University</w:t>
      </w:r>
    </w:p>
    <w:p w14:paraId="00968891" w14:textId="77777777" w:rsidR="00375804" w:rsidRPr="002C4021" w:rsidRDefault="00375804" w:rsidP="0037580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lang w:val="en-GB"/>
        </w:rPr>
      </w:pPr>
      <w:r w:rsidRPr="002C4021">
        <w:rPr>
          <w:rFonts w:ascii="Times New Roman" w:hAnsi="Times New Roman" w:cs="Times New Roman"/>
          <w:i/>
          <w:sz w:val="24"/>
          <w:vertAlign w:val="superscript"/>
          <w:lang w:val="en-GB"/>
        </w:rPr>
        <w:t>*</w:t>
      </w:r>
      <w:r w:rsidRPr="002C4021">
        <w:rPr>
          <w:rFonts w:ascii="Times New Roman" w:hAnsi="Times New Roman" w:cs="Times New Roman"/>
          <w:i/>
          <w:sz w:val="24"/>
          <w:lang w:val="en-GB"/>
        </w:rPr>
        <w:t>Corresponding author: ivan.pilcevic@gmail.com</w:t>
      </w:r>
    </w:p>
    <w:p w14:paraId="0CACFB28" w14:textId="2A01D421" w:rsidR="00FF1FAB" w:rsidRPr="002C4021" w:rsidRDefault="00FF1FAB" w:rsidP="00A37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2333CB56" w14:textId="73847B99" w:rsidR="00375804" w:rsidRPr="002C4021" w:rsidRDefault="00375804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As we can see from TABLE </w:t>
      </w:r>
      <w:proofErr w:type="spellStart"/>
      <w:r w:rsidR="002172FE" w:rsidRPr="002C4021">
        <w:rPr>
          <w:rFonts w:ascii="Times New Roman" w:hAnsi="Times New Roman" w:cs="Times New Roman"/>
          <w:sz w:val="24"/>
          <w:lang w:val="en-GB"/>
        </w:rPr>
        <w:t>SI</w:t>
      </w:r>
      <w:r w:rsidRPr="002C4021">
        <w:rPr>
          <w:rFonts w:ascii="Times New Roman" w:hAnsi="Times New Roman" w:cs="Times New Roman"/>
          <w:sz w:val="24"/>
          <w:lang w:val="en-GB"/>
        </w:rPr>
        <w:t>a</w:t>
      </w:r>
      <w:proofErr w:type="spellEnd"/>
      <w:r w:rsidRPr="002C4021">
        <w:rPr>
          <w:rFonts w:ascii="Times New Roman" w:hAnsi="Times New Roman" w:cs="Times New Roman"/>
          <w:sz w:val="24"/>
          <w:lang w:val="en-GB"/>
        </w:rPr>
        <w:t xml:space="preserve">, the Institute </w:t>
      </w:r>
      <w:proofErr w:type="spellStart"/>
      <w:r w:rsidRPr="002C4021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Pr="002C4021">
        <w:rPr>
          <w:rFonts w:ascii="Times New Roman" w:hAnsi="Times New Roman" w:cs="Times New Roman"/>
          <w:sz w:val="24"/>
          <w:lang w:val="en-GB"/>
        </w:rPr>
        <w:t xml:space="preserve"> leads the way with 2100 published papers. In addition, the quality of the journals in which those papers were published is quite high. The median value of indicator </w:t>
      </w:r>
      <w:r w:rsidRPr="002C4021">
        <w:rPr>
          <w:rFonts w:ascii="Times New Roman" w:hAnsi="Times New Roman" w:cs="Times New Roman"/>
          <w:i/>
          <w:sz w:val="24"/>
          <w:lang w:val="en-GB"/>
        </w:rPr>
        <w:t xml:space="preserve">AVG_JIF_PERCENTILE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is 66.309, meaning that half the </w:t>
      </w:r>
      <w:proofErr w:type="spellStart"/>
      <w:r w:rsidRPr="002C4021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Pr="002C4021">
        <w:rPr>
          <w:rFonts w:ascii="Times New Roman" w:hAnsi="Times New Roman" w:cs="Times New Roman"/>
          <w:sz w:val="24"/>
          <w:lang w:val="en-GB"/>
        </w:rPr>
        <w:t xml:space="preserve"> papers came out in journals which are in top 33.691% in their respective JCR subject category.</w:t>
      </w:r>
    </w:p>
    <w:p w14:paraId="740E388D" w14:textId="77777777" w:rsidR="00375804" w:rsidRPr="002C4021" w:rsidRDefault="00375804" w:rsidP="00A37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</w:p>
    <w:p w14:paraId="7BC2EB04" w14:textId="3C86A2EE" w:rsidR="00FF1FAB" w:rsidRPr="002C4021" w:rsidRDefault="00FF1FAB" w:rsidP="00FF1FA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Ia</w:t>
      </w:r>
      <w:proofErr w:type="spellEnd"/>
      <w:r w:rsidRPr="002C4021">
        <w:rPr>
          <w:rFonts w:ascii="Times New Roman" w:hAnsi="Times New Roman" w:cs="Times New Roman"/>
          <w:sz w:val="24"/>
          <w:lang w:val="en-GB"/>
        </w:rPr>
        <w:t xml:space="preserve">. Number of published papers, median and interquartile range for indicator </w:t>
      </w:r>
      <w:r w:rsidRPr="002C4021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2C4021">
        <w:rPr>
          <w:rFonts w:ascii="Times New Roman" w:hAnsi="Times New Roman" w:cs="Times New Roman"/>
          <w:sz w:val="24"/>
          <w:lang w:val="en-GB"/>
        </w:rPr>
        <w:t>for five leading institutes</w:t>
      </w:r>
    </w:p>
    <w:tbl>
      <w:tblPr>
        <w:tblW w:w="8302" w:type="dxa"/>
        <w:jc w:val="center"/>
        <w:tblLook w:val="04A0" w:firstRow="1" w:lastRow="0" w:firstColumn="1" w:lastColumn="0" w:noHBand="0" w:noVBand="1"/>
      </w:tblPr>
      <w:tblGrid>
        <w:gridCol w:w="2305"/>
        <w:gridCol w:w="1055"/>
        <w:gridCol w:w="1144"/>
        <w:gridCol w:w="866"/>
        <w:gridCol w:w="1011"/>
        <w:gridCol w:w="866"/>
        <w:gridCol w:w="1055"/>
      </w:tblGrid>
      <w:tr w:rsidR="000B2B1E" w:rsidRPr="002C4021" w14:paraId="45F158C6" w14:textId="77777777" w:rsidTr="00AD1E29">
        <w:trPr>
          <w:trHeight w:val="290"/>
          <w:jc w:val="center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0D53E4BF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3745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41A3" w14:textId="72090A1C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</w:t>
            </w:r>
          </w:p>
          <w:p w14:paraId="5E56CF72" w14:textId="2F8222D0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Vin</w:t>
            </w:r>
            <w:r w:rsidR="006C1CE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č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4253" w14:textId="1D7AA824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</w:t>
            </w:r>
          </w:p>
          <w:p w14:paraId="053A31F0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ICTM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781D" w14:textId="63AA5C33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Inst </w:t>
            </w:r>
          </w:p>
          <w:p w14:paraId="54FEC5A7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Biol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Res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7EB2" w14:textId="4602516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Inst</w:t>
            </w:r>
          </w:p>
          <w:p w14:paraId="67964323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2B4" w14:textId="5F86413E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Inst </w:t>
            </w:r>
          </w:p>
          <w:p w14:paraId="622F26D3" w14:textId="4A58C593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Mult</w:t>
            </w:r>
            <w:proofErr w:type="spellEnd"/>
            <w:r w:rsidR="00931F31"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Disc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Res</w:t>
            </w:r>
          </w:p>
        </w:tc>
      </w:tr>
      <w:tr w:rsidR="000B2B1E" w:rsidRPr="002C4021" w14:paraId="3ECA149B" w14:textId="77777777" w:rsidTr="00AD1E29">
        <w:trPr>
          <w:trHeight w:val="29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81E4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D921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Number </w:t>
            </w:r>
          </w:p>
          <w:p w14:paraId="598C7D8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D39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2100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4D3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1163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7063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1109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68B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441E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531</w:t>
            </w:r>
          </w:p>
        </w:tc>
      </w:tr>
      <w:tr w:rsidR="000B2B1E" w:rsidRPr="002C4021" w14:paraId="34AB8010" w14:textId="77777777" w:rsidTr="00AD1E29">
        <w:trPr>
          <w:trHeight w:val="29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2C0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84CA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089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66.309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5BF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63.057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FD28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55.195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6EC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74.423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78D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65.382</w:t>
            </w:r>
          </w:p>
        </w:tc>
      </w:tr>
      <w:tr w:rsidR="00C013DB" w:rsidRPr="002C4021" w14:paraId="15AD0CA3" w14:textId="77777777" w:rsidTr="00AD1E29">
        <w:trPr>
          <w:trHeight w:val="290"/>
          <w:jc w:val="center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5CA2E1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6D01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7BFB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35.965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2400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41.114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95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47.165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AA8A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33.950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343D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44.056</w:t>
            </w:r>
          </w:p>
        </w:tc>
      </w:tr>
    </w:tbl>
    <w:p w14:paraId="35ED5AA9" w14:textId="77777777" w:rsidR="00C013DB" w:rsidRPr="002C4021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3C743222" w14:textId="1F4E5D58" w:rsidR="00C013DB" w:rsidRPr="002C4021" w:rsidRDefault="00A12AB6" w:rsidP="00FF1FA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>A r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emarkable result </w:t>
      </w:r>
      <w:r w:rsidRPr="002C4021">
        <w:rPr>
          <w:rFonts w:ascii="Times New Roman" w:hAnsi="Times New Roman" w:cs="Times New Roman"/>
          <w:sz w:val="24"/>
          <w:lang w:val="en-GB"/>
        </w:rPr>
        <w:t>was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 achieved by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Institute of Physics.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Fully 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half of its papers </w:t>
      </w:r>
      <w:r w:rsidRPr="002C4021">
        <w:rPr>
          <w:rFonts w:ascii="Times New Roman" w:hAnsi="Times New Roman" w:cs="Times New Roman"/>
          <w:sz w:val="24"/>
          <w:lang w:val="en-GB"/>
        </w:rPr>
        <w:t>were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 published in journals which are placed in top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25.577%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of the </w:t>
      </w:r>
      <w:r w:rsidR="00E616C5" w:rsidRPr="002C4021">
        <w:rPr>
          <w:rFonts w:ascii="Times New Roman" w:hAnsi="Times New Roman" w:cs="Times New Roman"/>
          <w:sz w:val="24"/>
          <w:lang w:val="en-GB"/>
        </w:rPr>
        <w:t>respective JCR subject category.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E616C5" w:rsidRPr="002C4021">
        <w:rPr>
          <w:rFonts w:ascii="Times New Roman" w:hAnsi="Times New Roman" w:cs="Times New Roman"/>
          <w:sz w:val="24"/>
          <w:lang w:val="en-GB"/>
        </w:rPr>
        <w:t>On the other hand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,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Institute for </w:t>
      </w:r>
      <w:r w:rsidR="004A7919" w:rsidRPr="002C4021">
        <w:rPr>
          <w:rFonts w:ascii="Times New Roman" w:hAnsi="Times New Roman" w:cs="Times New Roman"/>
          <w:sz w:val="24"/>
          <w:lang w:val="en-GB"/>
        </w:rPr>
        <w:t>B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iological </w:t>
      </w:r>
      <w:r w:rsidR="004A7919" w:rsidRPr="002C4021">
        <w:rPr>
          <w:rFonts w:ascii="Times New Roman" w:hAnsi="Times New Roman" w:cs="Times New Roman"/>
          <w:sz w:val="24"/>
          <w:lang w:val="en-GB"/>
        </w:rPr>
        <w:t>R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esearch </w:t>
      </w:r>
      <w:r w:rsidR="00CC0214" w:rsidRPr="002C4021">
        <w:rPr>
          <w:rFonts w:ascii="Times New Roman" w:hAnsi="Times New Roman" w:cs="Times New Roman"/>
          <w:sz w:val="24"/>
          <w:lang w:val="en-GB"/>
        </w:rPr>
        <w:t>“</w:t>
      </w:r>
      <w:proofErr w:type="spellStart"/>
      <w:r w:rsidR="00C013DB" w:rsidRPr="002C4021">
        <w:rPr>
          <w:rFonts w:ascii="Times New Roman" w:hAnsi="Times New Roman" w:cs="Times New Roman"/>
          <w:sz w:val="24"/>
          <w:lang w:val="en-GB"/>
        </w:rPr>
        <w:t>Siniša</w:t>
      </w:r>
      <w:proofErr w:type="spellEnd"/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013DB" w:rsidRPr="002C4021">
        <w:rPr>
          <w:rFonts w:ascii="Times New Roman" w:hAnsi="Times New Roman" w:cs="Times New Roman"/>
          <w:sz w:val="24"/>
          <w:lang w:val="en-GB"/>
        </w:rPr>
        <w:t>Stanković</w:t>
      </w:r>
      <w:proofErr w:type="spellEnd"/>
      <w:r w:rsidR="00CC0214" w:rsidRPr="002C4021">
        <w:rPr>
          <w:rFonts w:ascii="Times New Roman" w:hAnsi="Times New Roman" w:cs="Times New Roman"/>
          <w:sz w:val="24"/>
          <w:lang w:val="en-GB"/>
        </w:rPr>
        <w:t>”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 has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lowest median value and highest </w:t>
      </w:r>
      <w:r w:rsidR="004A7919" w:rsidRPr="002C4021">
        <w:rPr>
          <w:rFonts w:ascii="Times New Roman" w:hAnsi="Times New Roman" w:cs="Times New Roman"/>
          <w:sz w:val="24"/>
          <w:lang w:val="en-GB"/>
        </w:rPr>
        <w:t>interquartile range (</w:t>
      </w:r>
      <w:r w:rsidR="00E616C5" w:rsidRPr="002C4021">
        <w:rPr>
          <w:rFonts w:ascii="Times New Roman" w:hAnsi="Times New Roman" w:cs="Times New Roman"/>
          <w:sz w:val="24"/>
          <w:lang w:val="en-GB"/>
        </w:rPr>
        <w:t>IQR</w:t>
      </w:r>
      <w:r w:rsidR="004A7919" w:rsidRPr="002C4021">
        <w:rPr>
          <w:rFonts w:ascii="Times New Roman" w:hAnsi="Times New Roman" w:cs="Times New Roman"/>
          <w:sz w:val="24"/>
          <w:lang w:val="en-GB"/>
        </w:rPr>
        <w:t>)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 among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E616C5" w:rsidRPr="002C4021">
        <w:rPr>
          <w:rFonts w:ascii="Times New Roman" w:hAnsi="Times New Roman" w:cs="Times New Roman"/>
          <w:sz w:val="24"/>
          <w:lang w:val="en-GB"/>
        </w:rPr>
        <w:t>top institutes</w:t>
      </w:r>
      <w:r w:rsidR="002A1EA7" w:rsidRPr="002C4021">
        <w:rPr>
          <w:rFonts w:ascii="Times New Roman" w:hAnsi="Times New Roman" w:cs="Times New Roman"/>
          <w:sz w:val="24"/>
          <w:lang w:val="en-GB"/>
        </w:rPr>
        <w:t xml:space="preserve"> (large variability of </w:t>
      </w:r>
      <w:r w:rsidR="005A6F98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2A1EA7" w:rsidRPr="002C4021">
        <w:rPr>
          <w:rFonts w:ascii="Times New Roman" w:hAnsi="Times New Roman" w:cs="Times New Roman"/>
          <w:sz w:val="24"/>
          <w:lang w:val="en-GB"/>
        </w:rPr>
        <w:t>observed indicator)</w:t>
      </w:r>
      <w:r w:rsidR="00E616C5" w:rsidRPr="002C4021">
        <w:rPr>
          <w:rFonts w:ascii="Times New Roman" w:hAnsi="Times New Roman" w:cs="Times New Roman"/>
          <w:sz w:val="24"/>
          <w:lang w:val="en-GB"/>
        </w:rPr>
        <w:t xml:space="preserve">, meaning </w:t>
      </w:r>
      <w:r w:rsidR="002A1EA7" w:rsidRPr="002C4021">
        <w:rPr>
          <w:rFonts w:ascii="Times New Roman" w:hAnsi="Times New Roman" w:cs="Times New Roman"/>
          <w:sz w:val="24"/>
          <w:lang w:val="en-GB"/>
        </w:rPr>
        <w:t xml:space="preserve">that its performance is weaker than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2A1EA7" w:rsidRPr="002C4021">
        <w:rPr>
          <w:rFonts w:ascii="Times New Roman" w:hAnsi="Times New Roman" w:cs="Times New Roman"/>
          <w:sz w:val="24"/>
          <w:lang w:val="en-GB"/>
        </w:rPr>
        <w:t>previously mentioned institutes.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16D0C969" w14:textId="77777777" w:rsidR="00FB5930" w:rsidRPr="002C4021" w:rsidRDefault="00FB5930" w:rsidP="00FF1FA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58A1F9D" w14:textId="4A468676" w:rsidR="00FF1FAB" w:rsidRPr="002C4021" w:rsidRDefault="00FF1FAB" w:rsidP="00FF1FA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Ib.</w:t>
      </w:r>
      <w:proofErr w:type="spellEnd"/>
      <w:r w:rsidRPr="002C4021">
        <w:rPr>
          <w:rFonts w:ascii="Times New Roman" w:hAnsi="Times New Roman" w:cs="Times New Roman"/>
          <w:sz w:val="24"/>
          <w:lang w:val="en-GB"/>
        </w:rPr>
        <w:t xml:space="preserve"> Number of published papers, median and interquartile range for indicator </w:t>
      </w:r>
      <w:r w:rsidRPr="002C4021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for 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m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edical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ciences</w:t>
      </w:r>
    </w:p>
    <w:tbl>
      <w:tblPr>
        <w:tblW w:w="7078" w:type="dxa"/>
        <w:jc w:val="center"/>
        <w:tblLook w:val="04A0" w:firstRow="1" w:lastRow="0" w:firstColumn="1" w:lastColumn="0" w:noHBand="0" w:noVBand="1"/>
      </w:tblPr>
      <w:tblGrid>
        <w:gridCol w:w="2305"/>
        <w:gridCol w:w="1153"/>
        <w:gridCol w:w="866"/>
        <w:gridCol w:w="866"/>
        <w:gridCol w:w="1022"/>
        <w:gridCol w:w="866"/>
      </w:tblGrid>
      <w:tr w:rsidR="000B2B1E" w:rsidRPr="002C4021" w14:paraId="1F5A9BB0" w14:textId="77777777" w:rsidTr="00E73C47">
        <w:trPr>
          <w:trHeight w:val="290"/>
          <w:jc w:val="center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26F56922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CF8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1BD" w14:textId="3C34C161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41D7299D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Med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5096" w14:textId="3CFB61C6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0174818F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Pharm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F030" w14:textId="3181E38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6BFD45D7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Vet Med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3DC4" w14:textId="7CBA6B1A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6FE7815C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Dent</w:t>
            </w:r>
          </w:p>
        </w:tc>
      </w:tr>
      <w:tr w:rsidR="000B2B1E" w:rsidRPr="002C4021" w14:paraId="5CFA04DB" w14:textId="77777777" w:rsidTr="00E73C47">
        <w:trPr>
          <w:trHeight w:val="29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6CC0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FC55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Number</w:t>
            </w:r>
          </w:p>
          <w:p w14:paraId="27C02904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3BB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2456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608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780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641D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AA1E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312</w:t>
            </w:r>
          </w:p>
        </w:tc>
      </w:tr>
      <w:tr w:rsidR="000B2B1E" w:rsidRPr="002C4021" w14:paraId="34F44BBC" w14:textId="77777777" w:rsidTr="00E73C47">
        <w:trPr>
          <w:trHeight w:val="29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3C17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4C32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EE2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40.256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620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51.611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9B31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33.784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57CF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32.916</w:t>
            </w:r>
          </w:p>
        </w:tc>
      </w:tr>
      <w:tr w:rsidR="000B2B1E" w:rsidRPr="002C4021" w14:paraId="03B1BDEB" w14:textId="77777777" w:rsidTr="00E73C47">
        <w:trPr>
          <w:trHeight w:val="290"/>
          <w:jc w:val="center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B0A333B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204B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D07C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50.676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0CF8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48.711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3E7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41.063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77F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59.661</w:t>
            </w:r>
          </w:p>
        </w:tc>
      </w:tr>
    </w:tbl>
    <w:p w14:paraId="11524D9E" w14:textId="55866B06" w:rsidR="00C013DB" w:rsidRPr="002C4021" w:rsidRDefault="00A12AB6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lastRenderedPageBreak/>
        <w:t>Our r</w:t>
      </w:r>
      <w:r w:rsidR="009324F6" w:rsidRPr="002C4021">
        <w:rPr>
          <w:rFonts w:ascii="Times New Roman" w:hAnsi="Times New Roman" w:cs="Times New Roman"/>
          <w:sz w:val="24"/>
          <w:lang w:val="en-GB"/>
        </w:rPr>
        <w:t xml:space="preserve">esults show that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2C4021">
        <w:rPr>
          <w:rFonts w:ascii="Times New Roman" w:hAnsi="Times New Roman" w:cs="Times New Roman"/>
          <w:sz w:val="24"/>
          <w:lang w:val="en-GB"/>
        </w:rPr>
        <w:t>Faculty</w:t>
      </w:r>
      <w:r w:rsidR="009324F6" w:rsidRPr="002C4021">
        <w:rPr>
          <w:rFonts w:ascii="Times New Roman" w:hAnsi="Times New Roman" w:cs="Times New Roman"/>
          <w:sz w:val="24"/>
          <w:lang w:val="en-GB"/>
        </w:rPr>
        <w:t xml:space="preserve"> of </w:t>
      </w:r>
      <w:r w:rsidR="00F31711" w:rsidRPr="002C4021">
        <w:rPr>
          <w:rFonts w:ascii="Times New Roman" w:hAnsi="Times New Roman" w:cs="Times New Roman"/>
          <w:sz w:val="24"/>
          <w:lang w:val="en-GB"/>
        </w:rPr>
        <w:t>M</w:t>
      </w:r>
      <w:r w:rsidR="009324F6" w:rsidRPr="002C4021">
        <w:rPr>
          <w:rFonts w:ascii="Times New Roman" w:hAnsi="Times New Roman" w:cs="Times New Roman"/>
          <w:sz w:val="24"/>
          <w:lang w:val="en-GB"/>
        </w:rPr>
        <w:t xml:space="preserve">edicine has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9324F6" w:rsidRPr="002C4021">
        <w:rPr>
          <w:rFonts w:ascii="Times New Roman" w:hAnsi="Times New Roman" w:cs="Times New Roman"/>
          <w:sz w:val="24"/>
          <w:lang w:val="en-GB"/>
        </w:rPr>
        <w:t xml:space="preserve">largest number of published papers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(2456), 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but they are published in journals with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lower ratings on the </w:t>
      </w:r>
      <w:r w:rsidR="00C013DB" w:rsidRPr="002C4021">
        <w:rPr>
          <w:rFonts w:ascii="Times New Roman" w:hAnsi="Times New Roman" w:cs="Times New Roman"/>
          <w:i/>
          <w:sz w:val="24"/>
          <w:lang w:val="en-GB"/>
        </w:rPr>
        <w:t xml:space="preserve">AVG_JIF_PERCENTILE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indicator 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than </w:t>
      </w:r>
      <w:r w:rsidR="00D70B35" w:rsidRPr="002C4021">
        <w:rPr>
          <w:rFonts w:ascii="Times New Roman" w:hAnsi="Times New Roman" w:cs="Times New Roman"/>
          <w:sz w:val="24"/>
          <w:lang w:val="en-GB"/>
        </w:rPr>
        <w:t xml:space="preserve">those of the </w:t>
      </w:r>
      <w:r w:rsidR="00C013DB" w:rsidRPr="002C4021">
        <w:rPr>
          <w:rFonts w:ascii="Times New Roman" w:hAnsi="Times New Roman" w:cs="Times New Roman"/>
          <w:sz w:val="24"/>
          <w:lang w:val="en-GB"/>
        </w:rPr>
        <w:t>Institut</w:t>
      </w:r>
      <w:r w:rsidR="00F31711" w:rsidRPr="002C4021">
        <w:rPr>
          <w:rFonts w:ascii="Times New Roman" w:hAnsi="Times New Roman" w:cs="Times New Roman"/>
          <w:sz w:val="24"/>
          <w:lang w:val="en-GB"/>
        </w:rPr>
        <w:t>e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013DB" w:rsidRPr="002C4021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and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2C4021">
        <w:rPr>
          <w:rFonts w:ascii="Times New Roman" w:hAnsi="Times New Roman" w:cs="Times New Roman"/>
          <w:sz w:val="24"/>
          <w:lang w:val="en-GB"/>
        </w:rPr>
        <w:t>Institute of Physics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. </w:t>
      </w:r>
      <w:r w:rsidR="00EA5A57" w:rsidRPr="002C4021">
        <w:rPr>
          <w:rFonts w:ascii="Times New Roman" w:hAnsi="Times New Roman" w:cs="Times New Roman"/>
          <w:sz w:val="24"/>
          <w:lang w:val="en-GB"/>
        </w:rPr>
        <w:t>A s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imilar conclusion can be deduced for both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Faculty of Veterinary </w:t>
      </w:r>
      <w:r w:rsidR="00CC0214" w:rsidRPr="002C4021">
        <w:rPr>
          <w:rFonts w:ascii="Times New Roman" w:hAnsi="Times New Roman" w:cs="Times New Roman"/>
          <w:sz w:val="24"/>
          <w:lang w:val="en-GB"/>
        </w:rPr>
        <w:t>Medicine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 and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Faculty of Dental Medicine, while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3D6846" w:rsidRPr="002C4021">
        <w:rPr>
          <w:rFonts w:ascii="Times New Roman" w:hAnsi="Times New Roman" w:cs="Times New Roman"/>
          <w:sz w:val="24"/>
          <w:lang w:val="en-GB"/>
        </w:rPr>
        <w:t>Faculty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 of Pharmacy with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a 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median value of </w:t>
      </w:r>
      <w:r w:rsidR="00C013DB" w:rsidRPr="002C4021">
        <w:rPr>
          <w:rFonts w:ascii="Times New Roman" w:hAnsi="Times New Roman" w:cs="Times New Roman"/>
          <w:sz w:val="24"/>
          <w:lang w:val="en-GB"/>
        </w:rPr>
        <w:t>51.611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 for indicator </w:t>
      </w:r>
      <w:r w:rsidR="00F31711" w:rsidRPr="002C4021">
        <w:rPr>
          <w:rFonts w:ascii="Times New Roman" w:hAnsi="Times New Roman" w:cs="Times New Roman"/>
          <w:i/>
          <w:sz w:val="24"/>
          <w:lang w:val="en-GB"/>
        </w:rPr>
        <w:t xml:space="preserve">AVG_JIF_PERCENTILE </w:t>
      </w:r>
      <w:r w:rsidR="00F31711" w:rsidRPr="002C4021">
        <w:rPr>
          <w:rFonts w:ascii="Times New Roman" w:hAnsi="Times New Roman" w:cs="Times New Roman"/>
          <w:sz w:val="24"/>
          <w:lang w:val="en-GB"/>
        </w:rPr>
        <w:t xml:space="preserve">has the best performance in the group of 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="006A4D84"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m</w:t>
      </w:r>
      <w:r w:rsidR="006A4D84" w:rsidRPr="002C4021">
        <w:rPr>
          <w:rFonts w:ascii="Times New Roman" w:hAnsi="Times New Roman" w:cs="Times New Roman"/>
          <w:sz w:val="24"/>
          <w:lang w:val="en-GB"/>
        </w:rPr>
        <w:t xml:space="preserve">edical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="006A4D84" w:rsidRPr="002C4021">
        <w:rPr>
          <w:rFonts w:ascii="Times New Roman" w:hAnsi="Times New Roman" w:cs="Times New Roman"/>
          <w:sz w:val="24"/>
          <w:lang w:val="en-GB"/>
        </w:rPr>
        <w:t>ciences</w:t>
      </w:r>
      <w:r w:rsidR="004708B6" w:rsidRPr="002C4021">
        <w:rPr>
          <w:rFonts w:ascii="Times New Roman" w:hAnsi="Times New Roman" w:cs="Times New Roman"/>
          <w:sz w:val="24"/>
          <w:lang w:val="en-GB"/>
        </w:rPr>
        <w:t xml:space="preserve"> (T</w:t>
      </w:r>
      <w:r w:rsidR="009C73A2" w:rsidRPr="002C4021">
        <w:rPr>
          <w:rFonts w:ascii="Times New Roman" w:hAnsi="Times New Roman" w:cs="Times New Roman"/>
          <w:sz w:val="24"/>
          <w:lang w:val="en-GB"/>
        </w:rPr>
        <w:t>ABLE</w:t>
      </w:r>
      <w:r w:rsidR="004708B6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="00B63C5D" w:rsidRPr="002C4021">
        <w:rPr>
          <w:rFonts w:ascii="Times New Roman" w:hAnsi="Times New Roman" w:cs="Times New Roman"/>
          <w:sz w:val="24"/>
          <w:lang w:val="en-GB"/>
        </w:rPr>
        <w:t>I</w:t>
      </w:r>
      <w:r w:rsidR="004708B6" w:rsidRPr="002C4021">
        <w:rPr>
          <w:rFonts w:ascii="Times New Roman" w:hAnsi="Times New Roman" w:cs="Times New Roman"/>
          <w:sz w:val="24"/>
          <w:lang w:val="en-GB"/>
        </w:rPr>
        <w:t>b</w:t>
      </w:r>
      <w:proofErr w:type="spellEnd"/>
      <w:r w:rsidR="004708B6" w:rsidRPr="002C4021">
        <w:rPr>
          <w:rFonts w:ascii="Times New Roman" w:hAnsi="Times New Roman" w:cs="Times New Roman"/>
          <w:sz w:val="24"/>
          <w:lang w:val="en-GB"/>
        </w:rPr>
        <w:t>)</w:t>
      </w:r>
      <w:r w:rsidR="00F31711" w:rsidRPr="002C4021">
        <w:rPr>
          <w:rFonts w:ascii="Times New Roman" w:hAnsi="Times New Roman" w:cs="Times New Roman"/>
          <w:sz w:val="24"/>
          <w:lang w:val="en-GB"/>
        </w:rPr>
        <w:t>.</w:t>
      </w:r>
    </w:p>
    <w:p w14:paraId="26628A3E" w14:textId="77777777" w:rsidR="00FB5930" w:rsidRPr="002C4021" w:rsidRDefault="00FB5930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D785E5F" w14:textId="68F18ACB" w:rsidR="00C013DB" w:rsidRPr="002C4021" w:rsidRDefault="00FF1FA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Ic.</w:t>
      </w:r>
      <w:proofErr w:type="spellEnd"/>
      <w:r w:rsidRPr="002C4021">
        <w:rPr>
          <w:rFonts w:ascii="Times New Roman" w:hAnsi="Times New Roman" w:cs="Times New Roman"/>
          <w:sz w:val="24"/>
          <w:lang w:val="en-GB"/>
        </w:rPr>
        <w:t xml:space="preserve"> Number of published papers, median and interquartile range for indicator </w:t>
      </w:r>
      <w:r w:rsidRPr="002C4021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for 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ciences and </w:t>
      </w:r>
      <w:r w:rsidR="0079020D">
        <w:rPr>
          <w:rFonts w:ascii="Times New Roman" w:hAnsi="Times New Roman" w:cs="Times New Roman"/>
          <w:sz w:val="24"/>
          <w:lang w:val="en-GB"/>
        </w:rPr>
        <w:t>m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athematics </w:t>
      </w:r>
    </w:p>
    <w:tbl>
      <w:tblPr>
        <w:tblW w:w="8057" w:type="dxa"/>
        <w:tblLook w:val="04A0" w:firstRow="1" w:lastRow="0" w:firstColumn="1" w:lastColumn="0" w:noHBand="0" w:noVBand="1"/>
      </w:tblPr>
      <w:tblGrid>
        <w:gridCol w:w="2305"/>
        <w:gridCol w:w="1055"/>
        <w:gridCol w:w="866"/>
        <w:gridCol w:w="866"/>
        <w:gridCol w:w="1233"/>
        <w:gridCol w:w="866"/>
        <w:gridCol w:w="866"/>
      </w:tblGrid>
      <w:tr w:rsidR="000B2B1E" w:rsidRPr="002C4021" w14:paraId="48D8B137" w14:textId="77777777" w:rsidTr="00E73C47">
        <w:trPr>
          <w:trHeight w:val="290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2DC9304A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4F31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C924" w14:textId="43A18B03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557148B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Biol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57C3" w14:textId="72BCE565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5FD6D863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Chem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43E" w14:textId="338940AA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1739060B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 Chem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8D78" w14:textId="21518C98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60A4F448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Phys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722" w14:textId="22494192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2CE784A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Math</w:t>
            </w:r>
          </w:p>
        </w:tc>
      </w:tr>
      <w:tr w:rsidR="000B2B1E" w:rsidRPr="002C4021" w14:paraId="79DC2B3C" w14:textId="77777777" w:rsidTr="00E73C47">
        <w:trPr>
          <w:trHeight w:val="290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DD0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8E71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Number </w:t>
            </w:r>
          </w:p>
          <w:p w14:paraId="562D62A3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DC0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106C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E032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934A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4F67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365</w:t>
            </w:r>
          </w:p>
        </w:tc>
      </w:tr>
      <w:tr w:rsidR="000B2B1E" w:rsidRPr="002C4021" w14:paraId="4DCDE891" w14:textId="77777777" w:rsidTr="00E73C47">
        <w:trPr>
          <w:trHeight w:val="290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90B7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6FF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DBAE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44.031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53E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63.057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EA61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68.375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650B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76.866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120A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62.071</w:t>
            </w:r>
          </w:p>
        </w:tc>
      </w:tr>
      <w:tr w:rsidR="00C013DB" w:rsidRPr="002C4021" w14:paraId="119938AF" w14:textId="77777777" w:rsidTr="00E73C47">
        <w:trPr>
          <w:trHeight w:val="290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F5FE1D5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9C71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82D4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44.709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C872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40.626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78E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38.579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E9C4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24.451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378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44.967</w:t>
            </w:r>
          </w:p>
        </w:tc>
      </w:tr>
    </w:tbl>
    <w:p w14:paraId="43E18AB5" w14:textId="77777777" w:rsidR="004708B6" w:rsidRPr="002C4021" w:rsidRDefault="004708B6" w:rsidP="00FF1FAB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A0A335E" w14:textId="2E47F659" w:rsidR="00C013DB" w:rsidRPr="002C4021" w:rsidRDefault="00DA5EAB" w:rsidP="00AA401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In </w:t>
      </w:r>
      <w:r w:rsidR="00FB5930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group of 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="00CC0214"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="00CC0214" w:rsidRPr="002C4021">
        <w:rPr>
          <w:rFonts w:ascii="Times New Roman" w:hAnsi="Times New Roman" w:cs="Times New Roman"/>
          <w:sz w:val="24"/>
          <w:lang w:val="en-GB"/>
        </w:rPr>
        <w:t xml:space="preserve">ciences and </w:t>
      </w:r>
      <w:r w:rsidR="0079020D">
        <w:rPr>
          <w:rFonts w:ascii="Times New Roman" w:hAnsi="Times New Roman" w:cs="Times New Roman"/>
          <w:sz w:val="24"/>
          <w:lang w:val="en-GB"/>
        </w:rPr>
        <w:t>m</w:t>
      </w:r>
      <w:r w:rsidR="00CC0214" w:rsidRPr="002C4021">
        <w:rPr>
          <w:rFonts w:ascii="Times New Roman" w:hAnsi="Times New Roman" w:cs="Times New Roman"/>
          <w:sz w:val="24"/>
          <w:lang w:val="en-GB"/>
        </w:rPr>
        <w:t>athematics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,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Faculty </w:t>
      </w:r>
      <w:r w:rsidR="00D82E29" w:rsidRPr="002C4021">
        <w:rPr>
          <w:rFonts w:ascii="Times New Roman" w:hAnsi="Times New Roman" w:cs="Times New Roman"/>
          <w:sz w:val="24"/>
          <w:lang w:val="en-GB"/>
        </w:rPr>
        <w:t>of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 Physical Chemistry and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Faculty of Physics stand out. Half of the papers from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D82E29" w:rsidRPr="002C4021">
        <w:rPr>
          <w:rFonts w:ascii="Times New Roman" w:hAnsi="Times New Roman" w:cs="Times New Roman"/>
          <w:sz w:val="24"/>
          <w:lang w:val="en-GB"/>
        </w:rPr>
        <w:t>Faculty of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 Physical Chemistry are published in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top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31.625%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of </w:t>
      </w:r>
      <w:r w:rsidRPr="002C4021">
        <w:rPr>
          <w:rFonts w:ascii="Times New Roman" w:hAnsi="Times New Roman" w:cs="Times New Roman"/>
          <w:sz w:val="24"/>
          <w:lang w:val="en-GB"/>
        </w:rPr>
        <w:t>journals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,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while half of the papers written by authors from the Faculty of Physics are in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top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23.134%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of </w:t>
      </w:r>
      <w:r w:rsidRPr="002C4021">
        <w:rPr>
          <w:rFonts w:ascii="Times New Roman" w:hAnsi="Times New Roman" w:cs="Times New Roman"/>
          <w:sz w:val="24"/>
          <w:lang w:val="en-GB"/>
        </w:rPr>
        <w:t>journals</w:t>
      </w:r>
      <w:r w:rsidR="00FF1FAB" w:rsidRPr="002C4021">
        <w:rPr>
          <w:rFonts w:ascii="Times New Roman" w:hAnsi="Times New Roman" w:cs="Times New Roman"/>
          <w:sz w:val="24"/>
          <w:lang w:val="en-GB"/>
        </w:rPr>
        <w:t xml:space="preserve"> (TABLE </w:t>
      </w:r>
      <w:proofErr w:type="spellStart"/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="00FF1FAB" w:rsidRPr="002C4021">
        <w:rPr>
          <w:rFonts w:ascii="Times New Roman" w:hAnsi="Times New Roman" w:cs="Times New Roman"/>
          <w:sz w:val="24"/>
          <w:lang w:val="en-GB"/>
        </w:rPr>
        <w:t>I</w:t>
      </w:r>
      <w:r w:rsidR="004708B6" w:rsidRPr="002C4021">
        <w:rPr>
          <w:rFonts w:ascii="Times New Roman" w:hAnsi="Times New Roman" w:cs="Times New Roman"/>
          <w:sz w:val="24"/>
          <w:lang w:val="en-GB"/>
        </w:rPr>
        <w:t>c</w:t>
      </w:r>
      <w:proofErr w:type="spellEnd"/>
      <w:r w:rsidR="004708B6" w:rsidRPr="002C4021">
        <w:rPr>
          <w:rFonts w:ascii="Times New Roman" w:hAnsi="Times New Roman" w:cs="Times New Roman"/>
          <w:sz w:val="24"/>
          <w:lang w:val="en-GB"/>
        </w:rPr>
        <w:t>)</w:t>
      </w:r>
      <w:r w:rsidR="00C013DB" w:rsidRPr="002C4021">
        <w:rPr>
          <w:rFonts w:ascii="Times New Roman" w:hAnsi="Times New Roman" w:cs="Times New Roman"/>
          <w:sz w:val="24"/>
          <w:lang w:val="en-GB"/>
        </w:rPr>
        <w:t>.</w:t>
      </w:r>
    </w:p>
    <w:p w14:paraId="1BE53AE3" w14:textId="77777777" w:rsidR="00AA4017" w:rsidRPr="002C4021" w:rsidRDefault="00AA4017" w:rsidP="00AA401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4616335" w14:textId="0FE9912B" w:rsidR="00C013DB" w:rsidRPr="002C4021" w:rsidRDefault="00AA4017" w:rsidP="00AA401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Id</w:t>
      </w:r>
      <w:proofErr w:type="spellEnd"/>
      <w:r w:rsidRPr="002C4021">
        <w:rPr>
          <w:rFonts w:ascii="Times New Roman" w:hAnsi="Times New Roman" w:cs="Times New Roman"/>
          <w:sz w:val="24"/>
          <w:lang w:val="en-GB"/>
        </w:rPr>
        <w:t xml:space="preserve">. Number of published papers, median and interquartile range for indicator </w:t>
      </w:r>
      <w:r w:rsidRPr="002C4021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for 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t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echnology and </w:t>
      </w:r>
      <w:r w:rsidR="0079020D">
        <w:rPr>
          <w:rFonts w:ascii="Times New Roman" w:hAnsi="Times New Roman" w:cs="Times New Roman"/>
          <w:sz w:val="24"/>
          <w:lang w:val="en-GB"/>
        </w:rPr>
        <w:t>e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ngineering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ciences (top 5 in terms of number of published papers)</w:t>
      </w:r>
    </w:p>
    <w:tbl>
      <w:tblPr>
        <w:tblW w:w="8747" w:type="dxa"/>
        <w:tblLook w:val="04A0" w:firstRow="1" w:lastRow="0" w:firstColumn="1" w:lastColumn="0" w:noHBand="0" w:noVBand="1"/>
      </w:tblPr>
      <w:tblGrid>
        <w:gridCol w:w="2305"/>
        <w:gridCol w:w="1055"/>
        <w:gridCol w:w="1188"/>
        <w:gridCol w:w="1100"/>
        <w:gridCol w:w="1144"/>
        <w:gridCol w:w="866"/>
        <w:gridCol w:w="1089"/>
      </w:tblGrid>
      <w:tr w:rsidR="000B2B1E" w:rsidRPr="002C4021" w14:paraId="6D4BF584" w14:textId="77777777" w:rsidTr="00E73C47">
        <w:trPr>
          <w:trHeight w:val="290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5B0824D5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E9ED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0E2C" w14:textId="406C893A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14:paraId="54FCAF7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Techn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Met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16E8" w14:textId="2251683E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14:paraId="554FC8B4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Elect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7622" w14:textId="0978619C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7B67E0E5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Mech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BCC8" w14:textId="7B33885B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37F62DC8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Agr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256C" w14:textId="071AB7ED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1673A34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Min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Geol</w:t>
            </w:r>
            <w:proofErr w:type="spellEnd"/>
          </w:p>
        </w:tc>
      </w:tr>
      <w:tr w:rsidR="000B2B1E" w:rsidRPr="002C4021" w14:paraId="099BD561" w14:textId="77777777" w:rsidTr="00E73C47">
        <w:trPr>
          <w:trHeight w:val="290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C88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F63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Number </w:t>
            </w:r>
          </w:p>
          <w:p w14:paraId="3F73A25C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281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1343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7BF5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51D4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692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F42D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619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4B1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378</w:t>
            </w:r>
          </w:p>
        </w:tc>
      </w:tr>
      <w:tr w:rsidR="000B2B1E" w:rsidRPr="002C4021" w14:paraId="6D33D975" w14:textId="77777777" w:rsidTr="00E73C47">
        <w:trPr>
          <w:trHeight w:val="290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8ECE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40E2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2C50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63.333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EFF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60.294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076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55.455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2CD2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47.283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0CA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49.156</w:t>
            </w:r>
          </w:p>
        </w:tc>
      </w:tr>
      <w:tr w:rsidR="00C013DB" w:rsidRPr="002C4021" w14:paraId="6492CF62" w14:textId="77777777" w:rsidTr="00E73C47">
        <w:trPr>
          <w:trHeight w:val="290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92A408E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8CE2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995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45.901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4CE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41.516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6A3A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44.625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F5E8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47.159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005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48.453</w:t>
            </w:r>
          </w:p>
        </w:tc>
      </w:tr>
    </w:tbl>
    <w:p w14:paraId="58354E12" w14:textId="77777777" w:rsidR="00C013DB" w:rsidRPr="002C4021" w:rsidRDefault="00C013DB" w:rsidP="00AA401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F9E0826" w14:textId="2F877D62" w:rsidR="00AA4017" w:rsidRPr="002C4021" w:rsidRDefault="00AA4017" w:rsidP="00AA401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TABLE </w:t>
      </w:r>
      <w:proofErr w:type="spellStart"/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Ie</w:t>
      </w:r>
      <w:proofErr w:type="spellEnd"/>
      <w:r w:rsidRPr="002C4021">
        <w:rPr>
          <w:rFonts w:ascii="Times New Roman" w:hAnsi="Times New Roman" w:cs="Times New Roman"/>
          <w:sz w:val="24"/>
          <w:lang w:val="en-GB"/>
        </w:rPr>
        <w:t xml:space="preserve">. Number of published papers, median and interquartile range for indicator </w:t>
      </w:r>
      <w:r w:rsidRPr="002C4021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for 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t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echnology and </w:t>
      </w:r>
      <w:r w:rsidR="0079020D">
        <w:rPr>
          <w:rFonts w:ascii="Times New Roman" w:hAnsi="Times New Roman" w:cs="Times New Roman"/>
          <w:sz w:val="24"/>
          <w:lang w:val="en-GB"/>
        </w:rPr>
        <w:t>e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ngineering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ciences (rest</w:t>
      </w:r>
      <w:r w:rsidRPr="002C4021">
        <w:rPr>
          <w:rStyle w:val="FootnoteReference"/>
          <w:rFonts w:ascii="Times New Roman" w:hAnsi="Times New Roman" w:cs="Times New Roman"/>
          <w:sz w:val="24"/>
          <w:lang w:val="en-GB"/>
        </w:rPr>
        <w:footnoteReference w:id="1"/>
      </w:r>
      <w:r w:rsidRPr="002C4021">
        <w:rPr>
          <w:rFonts w:ascii="Times New Roman" w:hAnsi="Times New Roman" w:cs="Times New Roman"/>
          <w:sz w:val="24"/>
          <w:lang w:val="en-GB"/>
        </w:rPr>
        <w:t>)</w:t>
      </w:r>
    </w:p>
    <w:tbl>
      <w:tblPr>
        <w:tblW w:w="8525" w:type="dxa"/>
        <w:jc w:val="center"/>
        <w:tblLook w:val="04A0" w:firstRow="1" w:lastRow="0" w:firstColumn="1" w:lastColumn="0" w:noHBand="0" w:noVBand="1"/>
      </w:tblPr>
      <w:tblGrid>
        <w:gridCol w:w="2305"/>
        <w:gridCol w:w="1055"/>
        <w:gridCol w:w="933"/>
        <w:gridCol w:w="1066"/>
        <w:gridCol w:w="1094"/>
        <w:gridCol w:w="983"/>
        <w:gridCol w:w="1089"/>
      </w:tblGrid>
      <w:tr w:rsidR="000B2B1E" w:rsidRPr="002C4021" w14:paraId="71137656" w14:textId="77777777" w:rsidTr="00E73C47">
        <w:trPr>
          <w:trHeight w:val="290"/>
          <w:jc w:val="center"/>
        </w:trPr>
        <w:tc>
          <w:tcPr>
            <w:tcW w:w="2305" w:type="dxa"/>
            <w:shd w:val="clear" w:color="auto" w:fill="auto"/>
            <w:noWrap/>
            <w:vAlign w:val="bottom"/>
            <w:hideMark/>
          </w:tcPr>
          <w:p w14:paraId="7A15A6A5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FB42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DB6F" w14:textId="19DF0242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224BFD9A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Org Sci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356" w14:textId="240BE874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165474A5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Tech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Bor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EB8" w14:textId="22F630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736F0C32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Transport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D4D3" w14:textId="5321750C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0D786378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Forestry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AA3" w14:textId="62438B1E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Fac</w:t>
            </w:r>
            <w:proofErr w:type="spellEnd"/>
          </w:p>
          <w:p w14:paraId="557B2A52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Civil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</w:tr>
      <w:tr w:rsidR="000B2B1E" w:rsidRPr="002C4021" w14:paraId="6020573A" w14:textId="77777777" w:rsidTr="00E73C47">
        <w:trPr>
          <w:trHeight w:val="290"/>
          <w:jc w:val="center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653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72F9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Number</w:t>
            </w:r>
          </w:p>
          <w:p w14:paraId="6223BCD5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of papers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1352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333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F65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264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FEC8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224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75F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73BF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182</w:t>
            </w:r>
          </w:p>
        </w:tc>
      </w:tr>
      <w:tr w:rsidR="000B2B1E" w:rsidRPr="002C4021" w14:paraId="403506AE" w14:textId="77777777" w:rsidTr="00E73C47">
        <w:trPr>
          <w:trHeight w:val="29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3B30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AVG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JIF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GB" w:eastAsia="en-GB"/>
              </w:rPr>
              <w:t>_</w:t>
            </w: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PERCENTILE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89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Median 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CEC3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39.091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FABD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46.019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EDB7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55.532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6325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28.313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7DE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44.815</w:t>
            </w:r>
          </w:p>
        </w:tc>
      </w:tr>
      <w:tr w:rsidR="00C013DB" w:rsidRPr="002C4021" w14:paraId="3950F4C9" w14:textId="77777777" w:rsidTr="00E73C47">
        <w:trPr>
          <w:trHeight w:val="290"/>
          <w:jc w:val="center"/>
        </w:trPr>
        <w:tc>
          <w:tcPr>
            <w:tcW w:w="2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4E228B" w14:textId="77777777" w:rsidR="00C013DB" w:rsidRPr="002C4021" w:rsidRDefault="00C013DB" w:rsidP="00CB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067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IQR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02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46.991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3F22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42.420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C035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46.795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AEAF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37.393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BF6" w14:textId="77777777" w:rsidR="00C013DB" w:rsidRPr="002C4021" w:rsidRDefault="00C013DB" w:rsidP="00CB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48.895</w:t>
            </w:r>
          </w:p>
        </w:tc>
      </w:tr>
    </w:tbl>
    <w:p w14:paraId="277C2191" w14:textId="77777777" w:rsidR="00C013DB" w:rsidRPr="002C4021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76084FC" w14:textId="77777777" w:rsidR="00FB5930" w:rsidRPr="002C4021" w:rsidRDefault="00FB5930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65D80E5" w14:textId="17EF60CF" w:rsidR="00C013DB" w:rsidRPr="002C4021" w:rsidRDefault="00940ECB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Among 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="0051729E"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t</w:t>
      </w:r>
      <w:r w:rsidR="0051729E" w:rsidRPr="002C4021">
        <w:rPr>
          <w:rFonts w:ascii="Times New Roman" w:hAnsi="Times New Roman" w:cs="Times New Roman"/>
          <w:sz w:val="24"/>
          <w:lang w:val="en-GB"/>
        </w:rPr>
        <w:t xml:space="preserve">echnology and </w:t>
      </w:r>
      <w:r w:rsidR="0079020D">
        <w:rPr>
          <w:rFonts w:ascii="Times New Roman" w:hAnsi="Times New Roman" w:cs="Times New Roman"/>
          <w:sz w:val="24"/>
          <w:lang w:val="en-GB"/>
        </w:rPr>
        <w:t>e</w:t>
      </w:r>
      <w:r w:rsidR="0051729E" w:rsidRPr="002C4021">
        <w:rPr>
          <w:rFonts w:ascii="Times New Roman" w:hAnsi="Times New Roman" w:cs="Times New Roman"/>
          <w:sz w:val="24"/>
          <w:lang w:val="en-GB"/>
        </w:rPr>
        <w:t xml:space="preserve">ngineering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="0051729E" w:rsidRPr="002C4021">
        <w:rPr>
          <w:rFonts w:ascii="Times New Roman" w:hAnsi="Times New Roman" w:cs="Times New Roman"/>
          <w:sz w:val="24"/>
          <w:lang w:val="en-GB"/>
        </w:rPr>
        <w:t>ciences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, </w:t>
      </w:r>
      <w:r w:rsidR="00EA5A57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D42FF7" w:rsidRPr="002C4021">
        <w:rPr>
          <w:rFonts w:ascii="Times New Roman" w:hAnsi="Times New Roman" w:cs="Times New Roman"/>
          <w:sz w:val="24"/>
          <w:lang w:val="en-GB"/>
        </w:rPr>
        <w:t xml:space="preserve">Faculty of Technology and Metallurgy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leads the way with more than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1300 </w:t>
      </w:r>
      <w:r w:rsidRPr="002C4021">
        <w:rPr>
          <w:rFonts w:ascii="Times New Roman" w:hAnsi="Times New Roman" w:cs="Times New Roman"/>
          <w:sz w:val="24"/>
          <w:lang w:val="en-GB"/>
        </w:rPr>
        <w:t>published papers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,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half of those </w:t>
      </w:r>
      <w:r w:rsidR="00FD6A80" w:rsidRPr="002C4021">
        <w:rPr>
          <w:rFonts w:ascii="Times New Roman" w:hAnsi="Times New Roman" w:cs="Times New Roman"/>
          <w:sz w:val="24"/>
          <w:lang w:val="en-GB"/>
        </w:rPr>
        <w:t>having appeared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 in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top </w:t>
      </w:r>
      <w:r w:rsidR="00C013DB" w:rsidRPr="002C4021">
        <w:rPr>
          <w:rFonts w:ascii="Times New Roman" w:hAnsi="Times New Roman" w:cs="Times New Roman"/>
          <w:sz w:val="24"/>
          <w:lang w:val="en-GB"/>
        </w:rPr>
        <w:t>36.667%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of </w:t>
      </w:r>
      <w:r w:rsidRPr="002C4021">
        <w:rPr>
          <w:rFonts w:ascii="Times New Roman" w:hAnsi="Times New Roman" w:cs="Times New Roman"/>
          <w:sz w:val="24"/>
          <w:lang w:val="en-GB"/>
        </w:rPr>
        <w:t>journals</w:t>
      </w:r>
      <w:r w:rsidR="00AA4017" w:rsidRPr="002C4021">
        <w:rPr>
          <w:rFonts w:ascii="Times New Roman" w:hAnsi="Times New Roman" w:cs="Times New Roman"/>
          <w:sz w:val="24"/>
          <w:lang w:val="en-GB"/>
        </w:rPr>
        <w:t xml:space="preserve"> (TABLE </w:t>
      </w:r>
      <w:proofErr w:type="spellStart"/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="00AA4017" w:rsidRPr="002C4021">
        <w:rPr>
          <w:rFonts w:ascii="Times New Roman" w:hAnsi="Times New Roman" w:cs="Times New Roman"/>
          <w:sz w:val="24"/>
          <w:lang w:val="en-GB"/>
        </w:rPr>
        <w:t>I</w:t>
      </w:r>
      <w:r w:rsidR="00203065" w:rsidRPr="002C4021">
        <w:rPr>
          <w:rFonts w:ascii="Times New Roman" w:hAnsi="Times New Roman" w:cs="Times New Roman"/>
          <w:sz w:val="24"/>
          <w:lang w:val="en-GB"/>
        </w:rPr>
        <w:t>d</w:t>
      </w:r>
      <w:proofErr w:type="spellEnd"/>
      <w:r w:rsidR="00203065" w:rsidRPr="002C4021">
        <w:rPr>
          <w:rFonts w:ascii="Times New Roman" w:hAnsi="Times New Roman" w:cs="Times New Roman"/>
          <w:sz w:val="24"/>
          <w:lang w:val="en-GB"/>
        </w:rPr>
        <w:t>)</w:t>
      </w:r>
      <w:r w:rsidR="00C013DB" w:rsidRPr="002C4021">
        <w:rPr>
          <w:rFonts w:ascii="Times New Roman" w:hAnsi="Times New Roman" w:cs="Times New Roman"/>
          <w:sz w:val="24"/>
          <w:lang w:val="en-GB"/>
        </w:rPr>
        <w:t>.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 Among </w:t>
      </w:r>
      <w:r w:rsidR="003376A1">
        <w:rPr>
          <w:rFonts w:ascii="Times New Roman" w:hAnsi="Times New Roman" w:cs="Times New Roman"/>
          <w:sz w:val="24"/>
          <w:lang w:val="en-GB"/>
        </w:rPr>
        <w:t>f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3376A1">
        <w:rPr>
          <w:rFonts w:ascii="Times New Roman" w:hAnsi="Times New Roman" w:cs="Times New Roman"/>
          <w:sz w:val="24"/>
          <w:lang w:val="en-GB"/>
        </w:rPr>
        <w:t>t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echnology and </w:t>
      </w:r>
      <w:r w:rsidR="003376A1">
        <w:rPr>
          <w:rFonts w:ascii="Times New Roman" w:hAnsi="Times New Roman" w:cs="Times New Roman"/>
          <w:sz w:val="24"/>
          <w:lang w:val="en-GB"/>
        </w:rPr>
        <w:t>e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ngineering </w:t>
      </w:r>
      <w:r w:rsidR="003376A1">
        <w:rPr>
          <w:rFonts w:ascii="Times New Roman" w:hAnsi="Times New Roman" w:cs="Times New Roman"/>
          <w:sz w:val="24"/>
          <w:lang w:val="en-GB"/>
        </w:rPr>
        <w:t>s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ciences with </w:t>
      </w:r>
      <w:r w:rsidR="0052757A" w:rsidRPr="002C4021">
        <w:rPr>
          <w:rFonts w:ascii="Times New Roman" w:hAnsi="Times New Roman" w:cs="Times New Roman"/>
          <w:sz w:val="24"/>
          <w:lang w:val="en-GB"/>
        </w:rPr>
        <w:t>fewer</w:t>
      </w:r>
      <w:r w:rsidR="00AA4017" w:rsidRPr="002C4021">
        <w:rPr>
          <w:rFonts w:ascii="Times New Roman" w:hAnsi="Times New Roman" w:cs="Times New Roman"/>
          <w:sz w:val="24"/>
          <w:lang w:val="en-GB"/>
        </w:rPr>
        <w:t xml:space="preserve"> published papers (TABLE</w:t>
      </w:r>
      <w:r w:rsidR="005114A1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="005114A1" w:rsidRPr="002C4021">
        <w:rPr>
          <w:rFonts w:ascii="Times New Roman" w:hAnsi="Times New Roman" w:cs="Times New Roman"/>
          <w:sz w:val="24"/>
          <w:lang w:val="en-GB"/>
        </w:rPr>
        <w:t>I</w:t>
      </w:r>
      <w:r w:rsidR="00203065" w:rsidRPr="002C4021">
        <w:rPr>
          <w:rFonts w:ascii="Times New Roman" w:hAnsi="Times New Roman" w:cs="Times New Roman"/>
          <w:sz w:val="24"/>
          <w:lang w:val="en-GB"/>
        </w:rPr>
        <w:t>e</w:t>
      </w:r>
      <w:proofErr w:type="spellEnd"/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),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Faculty of Transport and Traffic Engineering </w:t>
      </w:r>
      <w:r w:rsidR="00B51DDD" w:rsidRPr="002C4021">
        <w:rPr>
          <w:rFonts w:ascii="Times New Roman" w:hAnsi="Times New Roman" w:cs="Times New Roman"/>
          <w:sz w:val="24"/>
          <w:lang w:val="en-GB"/>
        </w:rPr>
        <w:t>exhibit</w:t>
      </w:r>
      <w:r w:rsidR="0052757A" w:rsidRPr="002C4021">
        <w:rPr>
          <w:rFonts w:ascii="Times New Roman" w:hAnsi="Times New Roman" w:cs="Times New Roman"/>
          <w:sz w:val="24"/>
          <w:lang w:val="en-GB"/>
        </w:rPr>
        <w:t>s the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 best performance</w:t>
      </w:r>
      <w:r w:rsidR="0052757A" w:rsidRPr="002C4021">
        <w:rPr>
          <w:rFonts w:ascii="Times New Roman" w:hAnsi="Times New Roman" w:cs="Times New Roman"/>
          <w:sz w:val="24"/>
          <w:lang w:val="en-GB"/>
        </w:rPr>
        <w:t>,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 with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a 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median value for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indicator </w:t>
      </w:r>
      <w:r w:rsidR="00203065" w:rsidRPr="002C4021">
        <w:rPr>
          <w:rFonts w:ascii="Times New Roman" w:hAnsi="Times New Roman" w:cs="Times New Roman"/>
          <w:i/>
          <w:sz w:val="24"/>
          <w:lang w:val="en-GB"/>
        </w:rPr>
        <w:t xml:space="preserve">Average Journal Impact Factor Percentile 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of 55.532 (meaning that half of its papers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were </w:t>
      </w:r>
      <w:r w:rsidR="00203065" w:rsidRPr="002C4021">
        <w:rPr>
          <w:rFonts w:ascii="Times New Roman" w:hAnsi="Times New Roman" w:cs="Times New Roman"/>
          <w:sz w:val="24"/>
          <w:lang w:val="en-GB"/>
        </w:rPr>
        <w:t xml:space="preserve">published in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203065" w:rsidRPr="002C4021">
        <w:rPr>
          <w:rFonts w:ascii="Times New Roman" w:hAnsi="Times New Roman" w:cs="Times New Roman"/>
          <w:sz w:val="24"/>
          <w:lang w:val="en-GB"/>
        </w:rPr>
        <w:t>top 4</w:t>
      </w:r>
      <w:r w:rsidR="00E668D9" w:rsidRPr="002C4021">
        <w:rPr>
          <w:rFonts w:ascii="Times New Roman" w:hAnsi="Times New Roman" w:cs="Times New Roman"/>
          <w:sz w:val="24"/>
          <w:lang w:val="en-GB"/>
        </w:rPr>
        <w:t>4</w:t>
      </w:r>
      <w:r w:rsidR="00203065" w:rsidRPr="002C4021">
        <w:rPr>
          <w:rFonts w:ascii="Times New Roman" w:hAnsi="Times New Roman" w:cs="Times New Roman"/>
          <w:sz w:val="24"/>
          <w:lang w:val="en-GB"/>
        </w:rPr>
        <w:t>.468% of journals.</w:t>
      </w:r>
    </w:p>
    <w:p w14:paraId="34123065" w14:textId="2B126A0E" w:rsidR="00300FA4" w:rsidRPr="002C4021" w:rsidRDefault="00300FA4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FEEC9CF" w14:textId="533CAD5D" w:rsidR="006F6659" w:rsidRPr="002C4021" w:rsidRDefault="00300FA4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>In our paper, we emphasized the importance of qualitative aspects</w:t>
      </w:r>
      <w:r w:rsidR="00470338" w:rsidRPr="002C4021">
        <w:rPr>
          <w:rFonts w:ascii="Times New Roman" w:hAnsi="Times New Roman" w:cs="Times New Roman"/>
          <w:sz w:val="24"/>
          <w:lang w:val="en-GB"/>
        </w:rPr>
        <w:t xml:space="preserve"> (percentile-based indicators</w:t>
      </w:r>
      <w:r w:rsidR="00BD1F5D" w:rsidRPr="002C4021">
        <w:rPr>
          <w:rFonts w:ascii="Times New Roman" w:hAnsi="Times New Roman" w:cs="Times New Roman"/>
          <w:sz w:val="24"/>
          <w:lang w:val="en-GB"/>
        </w:rPr>
        <w:t xml:space="preserve">, which are </w:t>
      </w:r>
      <w:r w:rsidR="006F266B" w:rsidRPr="002C4021">
        <w:rPr>
          <w:rFonts w:ascii="Times New Roman" w:hAnsi="Times New Roman" w:cs="Times New Roman"/>
          <w:sz w:val="24"/>
          <w:lang w:val="en-GB"/>
        </w:rPr>
        <w:t>not influenced by the size of institution</w:t>
      </w:r>
      <w:r w:rsidR="00470338" w:rsidRPr="002C4021">
        <w:rPr>
          <w:rFonts w:ascii="Times New Roman" w:hAnsi="Times New Roman" w:cs="Times New Roman"/>
          <w:sz w:val="24"/>
          <w:lang w:val="en-GB"/>
        </w:rPr>
        <w:t xml:space="preserve">)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of publication performance </w:t>
      </w:r>
      <w:r w:rsidR="00470338" w:rsidRPr="002C4021">
        <w:rPr>
          <w:rFonts w:ascii="Times New Roman" w:hAnsi="Times New Roman" w:cs="Times New Roman"/>
          <w:sz w:val="24"/>
          <w:lang w:val="en-GB"/>
        </w:rPr>
        <w:t>of UB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 institutions. On the other hand, number of papers should be considered cautiously (it is likely that institutions with larger number of </w:t>
      </w:r>
      <w:r w:rsidR="006F266B" w:rsidRPr="002C4021">
        <w:rPr>
          <w:rFonts w:ascii="Times New Roman" w:hAnsi="Times New Roman" w:cs="Times New Roman"/>
          <w:sz w:val="24"/>
          <w:lang w:val="en-GB"/>
        </w:rPr>
        <w:t xml:space="preserve">academic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staff will produce more papers). 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Still, no </w:t>
      </w:r>
      <w:r w:rsidR="00470338" w:rsidRPr="002C4021">
        <w:rPr>
          <w:rFonts w:ascii="Times New Roman" w:hAnsi="Times New Roman" w:cs="Times New Roman"/>
          <w:sz w:val="24"/>
          <w:lang w:val="en-GB"/>
        </w:rPr>
        <w:t>official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 data </w:t>
      </w:r>
      <w:r w:rsidR="00470338" w:rsidRPr="002C4021">
        <w:rPr>
          <w:rFonts w:ascii="Times New Roman" w:hAnsi="Times New Roman" w:cs="Times New Roman"/>
          <w:sz w:val="24"/>
          <w:lang w:val="en-GB"/>
        </w:rPr>
        <w:t>concerning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 the number of academic staff employed at each faculty and institute</w:t>
      </w:r>
      <w:r w:rsidR="006F266B" w:rsidRPr="002C4021">
        <w:rPr>
          <w:rFonts w:ascii="Times New Roman" w:hAnsi="Times New Roman" w:cs="Times New Roman"/>
          <w:sz w:val="24"/>
          <w:lang w:val="en-GB"/>
        </w:rPr>
        <w:t xml:space="preserve"> (</w:t>
      </w:r>
      <w:r w:rsidR="006F266B" w:rsidRPr="008F7B03">
        <w:rPr>
          <w:rFonts w:ascii="Times New Roman" w:hAnsi="Times New Roman" w:cs="Times New Roman"/>
          <w:sz w:val="24"/>
          <w:lang w:val="en-GB"/>
        </w:rPr>
        <w:t>especially not historically</w:t>
      </w:r>
      <w:r w:rsidR="006F266B" w:rsidRPr="002C4021">
        <w:rPr>
          <w:rFonts w:ascii="Times New Roman" w:hAnsi="Times New Roman" w:cs="Times New Roman"/>
          <w:sz w:val="24"/>
          <w:lang w:val="en-GB"/>
        </w:rPr>
        <w:t>)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 is publicly </w:t>
      </w:r>
      <w:r w:rsidR="00470338" w:rsidRPr="002C4021">
        <w:rPr>
          <w:rFonts w:ascii="Times New Roman" w:hAnsi="Times New Roman" w:cs="Times New Roman"/>
          <w:sz w:val="24"/>
          <w:lang w:val="en-GB"/>
        </w:rPr>
        <w:t>available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; </w:t>
      </w:r>
      <w:r w:rsidR="00470338" w:rsidRPr="002C4021">
        <w:rPr>
          <w:rFonts w:ascii="Times New Roman" w:hAnsi="Times New Roman" w:cs="Times New Roman"/>
          <w:sz w:val="24"/>
          <w:lang w:val="en-GB"/>
        </w:rPr>
        <w:t>thus,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 making it impossible to provide a </w:t>
      </w:r>
      <w:r w:rsidR="00470338" w:rsidRPr="002C4021">
        <w:rPr>
          <w:rFonts w:ascii="Times New Roman" w:hAnsi="Times New Roman" w:cs="Times New Roman"/>
          <w:sz w:val="24"/>
          <w:lang w:val="en-GB"/>
        </w:rPr>
        <w:t>methodologically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 sound analysis by incorporating the size of the institutions. </w:t>
      </w:r>
      <w:r w:rsidRPr="002C4021">
        <w:rPr>
          <w:rFonts w:ascii="Times New Roman" w:hAnsi="Times New Roman" w:cs="Times New Roman"/>
          <w:sz w:val="24"/>
          <w:lang w:val="en-GB"/>
        </w:rPr>
        <w:t>If we,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 as </w:t>
      </w:r>
      <w:r w:rsidR="009236BC" w:rsidRPr="002C4021">
        <w:rPr>
          <w:rFonts w:ascii="Times New Roman" w:hAnsi="Times New Roman" w:cs="Times New Roman"/>
          <w:sz w:val="24"/>
          <w:lang w:val="en-GB"/>
        </w:rPr>
        <w:t>proposed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 by the reviewer, apply the number of academic staff presented in </w:t>
      </w:r>
      <w:proofErr w:type="spellStart"/>
      <w:r w:rsidRPr="002C4021">
        <w:rPr>
          <w:rFonts w:ascii="Times New Roman" w:hAnsi="Times New Roman" w:cs="Times New Roman"/>
          <w:sz w:val="24"/>
          <w:lang w:val="en-GB"/>
        </w:rPr>
        <w:t>Zivkovic</w:t>
      </w:r>
      <w:proofErr w:type="spellEnd"/>
      <w:r w:rsidRPr="002C4021">
        <w:rPr>
          <w:rFonts w:ascii="Times New Roman" w:hAnsi="Times New Roman" w:cs="Times New Roman"/>
          <w:sz w:val="24"/>
          <w:lang w:val="en-GB"/>
        </w:rPr>
        <w:t xml:space="preserve"> et al. </w:t>
      </w:r>
      <w:r w:rsidR="006F6659" w:rsidRPr="002C4021">
        <w:rPr>
          <w:rFonts w:ascii="Times New Roman" w:hAnsi="Times New Roman" w:cs="Times New Roman"/>
          <w:sz w:val="24"/>
          <w:lang w:val="en-GB"/>
        </w:rPr>
        <w:t>paper</w:t>
      </w:r>
      <w:r w:rsidR="00470338" w:rsidRPr="002C4021">
        <w:rPr>
          <w:rStyle w:val="FootnoteReference"/>
          <w:rFonts w:ascii="Times New Roman" w:hAnsi="Times New Roman" w:cs="Times New Roman"/>
          <w:sz w:val="24"/>
          <w:lang w:val="en-GB"/>
        </w:rPr>
        <w:footnoteReference w:id="2"/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, results (TABLE SII) are quite appealing for Faculty of </w:t>
      </w:r>
      <w:r w:rsidR="00470338" w:rsidRPr="002C4021">
        <w:rPr>
          <w:rFonts w:ascii="Times New Roman" w:hAnsi="Times New Roman" w:cs="Times New Roman"/>
          <w:sz w:val="24"/>
          <w:lang w:val="en-GB"/>
        </w:rPr>
        <w:t>Physical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 Chemistry and Faculty of </w:t>
      </w:r>
      <w:r w:rsidR="00470338" w:rsidRPr="002C4021">
        <w:rPr>
          <w:rFonts w:ascii="Times New Roman" w:hAnsi="Times New Roman" w:cs="Times New Roman"/>
          <w:sz w:val="24"/>
          <w:lang w:val="en-GB"/>
        </w:rPr>
        <w:t>Chemistry</w:t>
      </w:r>
      <w:r w:rsidR="006F6659" w:rsidRPr="002C4021">
        <w:rPr>
          <w:rFonts w:ascii="Times New Roman" w:hAnsi="Times New Roman" w:cs="Times New Roman"/>
          <w:sz w:val="24"/>
          <w:lang w:val="en-GB"/>
        </w:rPr>
        <w:t xml:space="preserve">. </w:t>
      </w:r>
    </w:p>
    <w:p w14:paraId="150C29EC" w14:textId="77777777" w:rsidR="00AB35BD" w:rsidRPr="002C4021" w:rsidRDefault="00AB35BD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7B03A92" w14:textId="71F88CEE" w:rsidR="00D82E29" w:rsidRPr="002C4021" w:rsidRDefault="00D82E29" w:rsidP="004703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TABLE SII. </w:t>
      </w:r>
      <w:r w:rsidRPr="002C4021">
        <w:rPr>
          <w:rFonts w:ascii="Times New Roman" w:eastAsia="Times New Roman" w:hAnsi="Times New Roman" w:cs="Times New Roman"/>
          <w:color w:val="000000"/>
          <w:lang w:val="en-GB" w:eastAsia="en-GB"/>
        </w:rPr>
        <w:t>Publications per Researcher Ratio for the</w:t>
      </w:r>
      <w:r w:rsidR="00300FA4" w:rsidRPr="002C4021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</w:t>
      </w:r>
      <w:r w:rsidR="00470338" w:rsidRPr="002C4021">
        <w:rPr>
          <w:rFonts w:ascii="Times New Roman" w:eastAsia="Times New Roman" w:hAnsi="Times New Roman" w:cs="Times New Roman"/>
          <w:color w:val="000000"/>
          <w:lang w:val="en-GB" w:eastAsia="en-GB"/>
        </w:rPr>
        <w:t>analysed</w:t>
      </w:r>
      <w:r w:rsidRPr="002C4021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 faculties, listed in a decreasing order</w:t>
      </w:r>
    </w:p>
    <w:p w14:paraId="3EC3E049" w14:textId="77777777" w:rsidR="00D82E29" w:rsidRPr="002C4021" w:rsidRDefault="00D82E29" w:rsidP="00D82E29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tbl>
      <w:tblPr>
        <w:tblW w:w="7290" w:type="dxa"/>
        <w:jc w:val="center"/>
        <w:tblLook w:val="04A0" w:firstRow="1" w:lastRow="0" w:firstColumn="1" w:lastColumn="0" w:noHBand="0" w:noVBand="1"/>
      </w:tblPr>
      <w:tblGrid>
        <w:gridCol w:w="1710"/>
        <w:gridCol w:w="1980"/>
        <w:gridCol w:w="1800"/>
        <w:gridCol w:w="1800"/>
      </w:tblGrid>
      <w:tr w:rsidR="00300FA4" w:rsidRPr="002C4021" w14:paraId="2BF7D255" w14:textId="77777777" w:rsidTr="00470338">
        <w:trPr>
          <w:trHeight w:val="230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2410" w14:textId="34564E92" w:rsidR="00300FA4" w:rsidRPr="002C4021" w:rsidRDefault="00300FA4" w:rsidP="0030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Faculties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467F4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Number of published papers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4FC72" w14:textId="279B844D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Number of researchers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55E2F" w14:textId="45EABE49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Publications per Researcher</w:t>
            </w:r>
          </w:p>
        </w:tc>
      </w:tr>
      <w:tr w:rsidR="00300FA4" w:rsidRPr="002C4021" w14:paraId="5CD8D6BF" w14:textId="77777777" w:rsidTr="00470338">
        <w:trPr>
          <w:trHeight w:val="285"/>
          <w:jc w:val="center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DD32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Phys Chem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AA97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647B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A5A9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14.68</w:t>
            </w:r>
          </w:p>
        </w:tc>
      </w:tr>
      <w:tr w:rsidR="00300FA4" w:rsidRPr="002C4021" w14:paraId="657BC82E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32F5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Chem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A51D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27A5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C42C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13.34</w:t>
            </w:r>
          </w:p>
        </w:tc>
      </w:tr>
      <w:tr w:rsidR="00300FA4" w:rsidRPr="002C4021" w14:paraId="372FA1F5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83D9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EE54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E5D5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E3A3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9.67</w:t>
            </w:r>
          </w:p>
        </w:tc>
      </w:tr>
      <w:tr w:rsidR="00300FA4" w:rsidRPr="002C4021" w14:paraId="33C41390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1869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Techn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36E7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1343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360D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6D8F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8.84</w:t>
            </w:r>
          </w:p>
        </w:tc>
      </w:tr>
      <w:tr w:rsidR="00300FA4" w:rsidRPr="002C4021" w14:paraId="013230E7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5887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Biol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E506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D093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F767C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8.26</w:t>
            </w:r>
          </w:p>
        </w:tc>
      </w:tr>
      <w:tr w:rsidR="00300FA4" w:rsidRPr="002C4021" w14:paraId="3996B1B2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D000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Phys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9825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AA78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8E11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6.49</w:t>
            </w:r>
          </w:p>
        </w:tc>
      </w:tr>
      <w:tr w:rsidR="00300FA4" w:rsidRPr="002C4021" w14:paraId="6DE1801E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BF6C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Pharm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7031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FF77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2EC6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5.42</w:t>
            </w:r>
          </w:p>
        </w:tc>
      </w:tr>
      <w:tr w:rsidR="00300FA4" w:rsidRPr="002C4021" w14:paraId="68E56F1C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E266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Elect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6BA6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9E3E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6953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4.28</w:t>
            </w:r>
          </w:p>
        </w:tc>
      </w:tr>
      <w:tr w:rsidR="00300FA4" w:rsidRPr="002C4021" w14:paraId="417C6412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6DFF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Min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Geol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ADE6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175D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1737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3.44</w:t>
            </w:r>
          </w:p>
        </w:tc>
      </w:tr>
      <w:tr w:rsidR="00300FA4" w:rsidRPr="002C4021" w14:paraId="70C91F4F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DE6E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Math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FE46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94E0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4038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3.29</w:t>
            </w:r>
          </w:p>
        </w:tc>
      </w:tr>
      <w:tr w:rsidR="00300FA4" w:rsidRPr="002C4021" w14:paraId="4FE1B27A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1D92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Dent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5E41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B2F6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6EEB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3.28</w:t>
            </w:r>
          </w:p>
        </w:tc>
      </w:tr>
      <w:tr w:rsidR="00300FA4" w:rsidRPr="002C4021" w14:paraId="41DDE3C2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DEBE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lastRenderedPageBreak/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Tech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Bor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F27E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4B2F3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F2B0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3.26</w:t>
            </w:r>
          </w:p>
        </w:tc>
      </w:tr>
      <w:tr w:rsidR="00300FA4" w:rsidRPr="002C4021" w14:paraId="0ECB96F6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6E8D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Mech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18B4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6012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729A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3.23</w:t>
            </w:r>
          </w:p>
        </w:tc>
      </w:tr>
      <w:tr w:rsidR="00300FA4" w:rsidRPr="002C4021" w14:paraId="0D0B46A7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2253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Agr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A484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380B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BA8A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2.37</w:t>
            </w:r>
          </w:p>
        </w:tc>
      </w:tr>
      <w:tr w:rsidR="00300FA4" w:rsidRPr="002C4021" w14:paraId="73249CDF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23A7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Vet Med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6CDF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917D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2029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2.26</w:t>
            </w:r>
          </w:p>
        </w:tc>
      </w:tr>
      <w:tr w:rsidR="00300FA4" w:rsidRPr="002C4021" w14:paraId="7BCFD807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FA97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Org Sci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5C22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3FB1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641C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2.06</w:t>
            </w:r>
          </w:p>
        </w:tc>
      </w:tr>
      <w:tr w:rsidR="00300FA4" w:rsidRPr="002C4021" w14:paraId="3C71A563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8485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Forestry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C572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8C3E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FA97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1.95</w:t>
            </w:r>
          </w:p>
        </w:tc>
      </w:tr>
      <w:tr w:rsidR="00300FA4" w:rsidRPr="002C4021" w14:paraId="728968D6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A5AC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Transport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A81B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C796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8CAD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1.58</w:t>
            </w:r>
          </w:p>
        </w:tc>
      </w:tr>
      <w:tr w:rsidR="00300FA4" w:rsidRPr="002C4021" w14:paraId="50190497" w14:textId="77777777" w:rsidTr="00470338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7BDC6" w14:textId="77777777" w:rsidR="00300FA4" w:rsidRPr="002C4021" w:rsidRDefault="00300FA4" w:rsidP="00D8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Fac</w:t>
            </w:r>
            <w:proofErr w:type="spellEnd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Civil </w:t>
            </w:r>
            <w:proofErr w:type="spellStart"/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1B4A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BAEDC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02AFB" w14:textId="77777777" w:rsidR="00300FA4" w:rsidRPr="002C4021" w:rsidRDefault="00300FA4" w:rsidP="00D8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2C4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1.15</w:t>
            </w:r>
          </w:p>
        </w:tc>
      </w:tr>
    </w:tbl>
    <w:p w14:paraId="6AD1F9B5" w14:textId="77777777" w:rsidR="00D82E29" w:rsidRPr="002C4021" w:rsidRDefault="00D82E29" w:rsidP="00D82E2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51F2EA3" w14:textId="77777777" w:rsidR="00D82E29" w:rsidRPr="002C4021" w:rsidRDefault="00D82E29" w:rsidP="00D82E2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7854544D" w14:textId="5E2277AD" w:rsidR="00C013DB" w:rsidRPr="002C4021" w:rsidRDefault="00470338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>Besides analysing the quality of journals in which UB academic staff publishes</w:t>
      </w:r>
      <w:r w:rsidR="006602FA" w:rsidRPr="002C4021">
        <w:rPr>
          <w:rFonts w:ascii="Times New Roman" w:hAnsi="Times New Roman" w:cs="Times New Roman"/>
          <w:sz w:val="24"/>
          <w:lang w:val="en-GB"/>
        </w:rPr>
        <w:t xml:space="preserve">, we performed percentile-based analysis in terms of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6602FA" w:rsidRPr="002C4021">
        <w:rPr>
          <w:rFonts w:ascii="Times New Roman" w:hAnsi="Times New Roman" w:cs="Times New Roman"/>
          <w:sz w:val="24"/>
          <w:lang w:val="en-GB"/>
        </w:rPr>
        <w:t xml:space="preserve">quality of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6602FA" w:rsidRPr="002C4021">
        <w:rPr>
          <w:rFonts w:ascii="Times New Roman" w:hAnsi="Times New Roman" w:cs="Times New Roman"/>
          <w:sz w:val="24"/>
          <w:lang w:val="en-GB"/>
        </w:rPr>
        <w:t xml:space="preserve">published papers </w:t>
      </w:r>
      <w:r w:rsidR="00FD6A80" w:rsidRPr="002C4021">
        <w:rPr>
          <w:rFonts w:ascii="Times New Roman" w:hAnsi="Times New Roman" w:cs="Times New Roman"/>
          <w:sz w:val="24"/>
          <w:lang w:val="en-GB"/>
        </w:rPr>
        <w:t xml:space="preserve">from </w:t>
      </w:r>
      <w:r w:rsidR="00C013DB" w:rsidRPr="002C4021">
        <w:rPr>
          <w:rFonts w:ascii="Times New Roman" w:hAnsi="Times New Roman" w:cs="Times New Roman"/>
          <w:sz w:val="24"/>
          <w:lang w:val="en-GB"/>
        </w:rPr>
        <w:t>2009</w:t>
      </w:r>
      <w:r w:rsidR="00FD6A80" w:rsidRPr="002C4021">
        <w:rPr>
          <w:rFonts w:ascii="Times New Roman" w:hAnsi="Times New Roman" w:cs="Times New Roman"/>
          <w:sz w:val="24"/>
          <w:lang w:val="en-GB"/>
        </w:rPr>
        <w:t xml:space="preserve"> to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2014. </w:t>
      </w:r>
      <w:r w:rsidR="005034E5" w:rsidRPr="002C4021">
        <w:rPr>
          <w:rFonts w:ascii="Times New Roman" w:hAnsi="Times New Roman" w:cs="Times New Roman"/>
          <w:sz w:val="24"/>
          <w:lang w:val="en-GB"/>
        </w:rPr>
        <w:t xml:space="preserve">As we can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see from </w:t>
      </w:r>
      <w:r w:rsidR="005034E5" w:rsidRPr="002C4021">
        <w:rPr>
          <w:rFonts w:ascii="Times New Roman" w:hAnsi="Times New Roman" w:cs="Times New Roman"/>
          <w:sz w:val="24"/>
          <w:lang w:val="en-GB"/>
        </w:rPr>
        <w:t xml:space="preserve">Figure </w:t>
      </w:r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="004708B6" w:rsidRPr="002C4021">
        <w:rPr>
          <w:rFonts w:ascii="Times New Roman" w:hAnsi="Times New Roman" w:cs="Times New Roman"/>
          <w:sz w:val="24"/>
          <w:lang w:val="en-GB"/>
        </w:rPr>
        <w:t>1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a, </w:t>
      </w:r>
      <w:r w:rsidR="005034E5" w:rsidRPr="002C4021">
        <w:rPr>
          <w:rFonts w:ascii="Times New Roman" w:hAnsi="Times New Roman" w:cs="Times New Roman"/>
          <w:sz w:val="24"/>
          <w:lang w:val="en-GB"/>
        </w:rPr>
        <w:t xml:space="preserve">researchers from </w:t>
      </w:r>
      <w:r w:rsidR="00FD6A80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C013DB" w:rsidRPr="002C4021">
        <w:rPr>
          <w:rFonts w:ascii="Times New Roman" w:hAnsi="Times New Roman" w:cs="Times New Roman"/>
          <w:sz w:val="24"/>
          <w:lang w:val="en-GB"/>
        </w:rPr>
        <w:t>Institut</w:t>
      </w:r>
      <w:r w:rsidR="005034E5" w:rsidRPr="002C4021">
        <w:rPr>
          <w:rFonts w:ascii="Times New Roman" w:hAnsi="Times New Roman" w:cs="Times New Roman"/>
          <w:sz w:val="24"/>
          <w:lang w:val="en-GB"/>
        </w:rPr>
        <w:t>e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013DB" w:rsidRPr="002C4021">
        <w:rPr>
          <w:rFonts w:ascii="Times New Roman" w:hAnsi="Times New Roman" w:cs="Times New Roman"/>
          <w:sz w:val="24"/>
          <w:lang w:val="en-GB"/>
        </w:rPr>
        <w:t>Vinča</w:t>
      </w:r>
      <w:proofErr w:type="spellEnd"/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5034E5" w:rsidRPr="002C4021">
        <w:rPr>
          <w:rFonts w:ascii="Times New Roman" w:hAnsi="Times New Roman" w:cs="Times New Roman"/>
          <w:sz w:val="24"/>
          <w:lang w:val="en-GB"/>
        </w:rPr>
        <w:t xml:space="preserve">published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a </w:t>
      </w:r>
      <w:r w:rsidR="005034E5" w:rsidRPr="002C4021">
        <w:rPr>
          <w:rFonts w:ascii="Times New Roman" w:hAnsi="Times New Roman" w:cs="Times New Roman"/>
          <w:sz w:val="24"/>
          <w:lang w:val="en-GB"/>
        </w:rPr>
        <w:t xml:space="preserve">considerable number of cited papers. </w:t>
      </w:r>
      <w:r w:rsidR="00D35AF9" w:rsidRPr="002C4021">
        <w:rPr>
          <w:rFonts w:ascii="Times New Roman" w:hAnsi="Times New Roman" w:cs="Times New Roman"/>
          <w:sz w:val="24"/>
          <w:lang w:val="en-GB"/>
        </w:rPr>
        <w:t>Namely</w:t>
      </w:r>
      <w:r w:rsidR="005034E5" w:rsidRPr="002C4021">
        <w:rPr>
          <w:rFonts w:ascii="Times New Roman" w:hAnsi="Times New Roman" w:cs="Times New Roman"/>
          <w:sz w:val="24"/>
          <w:lang w:val="en-GB"/>
        </w:rPr>
        <w:t>,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0.2% </w:t>
      </w:r>
      <w:r w:rsidR="00D35AF9" w:rsidRPr="002C4021">
        <w:rPr>
          <w:rFonts w:ascii="Times New Roman" w:hAnsi="Times New Roman" w:cs="Times New Roman"/>
          <w:sz w:val="24"/>
          <w:lang w:val="en-GB"/>
        </w:rPr>
        <w:t xml:space="preserve">of their papers are in the group of highly-cited papers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(Top 1%), 5.1% </w:t>
      </w:r>
      <w:r w:rsidR="00D35AF9" w:rsidRPr="002C4021">
        <w:rPr>
          <w:rFonts w:ascii="Times New Roman" w:hAnsi="Times New Roman" w:cs="Times New Roman"/>
          <w:sz w:val="24"/>
          <w:lang w:val="en-GB"/>
        </w:rPr>
        <w:t xml:space="preserve">papers are in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D35AF9" w:rsidRPr="002C4021">
        <w:rPr>
          <w:rFonts w:ascii="Times New Roman" w:hAnsi="Times New Roman" w:cs="Times New Roman"/>
          <w:sz w:val="24"/>
          <w:lang w:val="en-GB"/>
        </w:rPr>
        <w:t>second group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(</w:t>
      </w:r>
      <w:r w:rsidR="00D35AF9" w:rsidRPr="002C4021">
        <w:rPr>
          <w:rFonts w:ascii="Times New Roman" w:hAnsi="Times New Roman" w:cs="Times New Roman"/>
          <w:sz w:val="24"/>
          <w:lang w:val="en-GB"/>
        </w:rPr>
        <w:t>papers which are in Top</w:t>
      </w:r>
      <w:r w:rsidR="00E008B6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1-10% </w:t>
      </w:r>
      <w:r w:rsidR="00D35AF9" w:rsidRPr="002C4021">
        <w:rPr>
          <w:rFonts w:ascii="Times New Roman" w:hAnsi="Times New Roman" w:cs="Times New Roman"/>
          <w:sz w:val="24"/>
          <w:lang w:val="en-GB"/>
        </w:rPr>
        <w:t xml:space="preserve">by citations in </w:t>
      </w:r>
      <w:r w:rsidR="00E668D9" w:rsidRPr="002C4021">
        <w:rPr>
          <w:rFonts w:ascii="Times New Roman" w:hAnsi="Times New Roman" w:cs="Times New Roman"/>
          <w:sz w:val="24"/>
          <w:lang w:val="en-GB"/>
        </w:rPr>
        <w:t>research</w:t>
      </w:r>
      <w:r w:rsidR="00D35AF9" w:rsidRPr="002C4021">
        <w:rPr>
          <w:rFonts w:ascii="Times New Roman" w:hAnsi="Times New Roman" w:cs="Times New Roman"/>
          <w:sz w:val="24"/>
          <w:lang w:val="en-GB"/>
        </w:rPr>
        <w:t xml:space="preserve"> field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), 7.82% </w:t>
      </w:r>
      <w:r w:rsidR="00252563" w:rsidRPr="002C4021">
        <w:rPr>
          <w:rFonts w:ascii="Times New Roman" w:hAnsi="Times New Roman" w:cs="Times New Roman"/>
          <w:sz w:val="24"/>
          <w:lang w:val="en-GB"/>
        </w:rPr>
        <w:t xml:space="preserve">of papers are in group of </w:t>
      </w:r>
      <w:r w:rsidR="00C013DB" w:rsidRPr="002C4021">
        <w:rPr>
          <w:rFonts w:ascii="Times New Roman" w:hAnsi="Times New Roman" w:cs="Times New Roman"/>
          <w:sz w:val="24"/>
          <w:lang w:val="en-GB"/>
        </w:rPr>
        <w:t>Top 10-2</w:t>
      </w:r>
      <w:r w:rsidR="00252563" w:rsidRPr="002C4021">
        <w:rPr>
          <w:rFonts w:ascii="Times New Roman" w:hAnsi="Times New Roman" w:cs="Times New Roman"/>
          <w:sz w:val="24"/>
          <w:lang w:val="en-GB"/>
        </w:rPr>
        <w:t>0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%, 29.93% </w:t>
      </w:r>
      <w:r w:rsidR="00E55B72" w:rsidRPr="002C4021">
        <w:rPr>
          <w:rFonts w:ascii="Times New Roman" w:hAnsi="Times New Roman" w:cs="Times New Roman"/>
          <w:sz w:val="24"/>
          <w:lang w:val="en-GB"/>
        </w:rPr>
        <w:t xml:space="preserve">of </w:t>
      </w:r>
      <w:r w:rsidR="00252563" w:rsidRPr="002C4021">
        <w:rPr>
          <w:rFonts w:ascii="Times New Roman" w:hAnsi="Times New Roman" w:cs="Times New Roman"/>
          <w:sz w:val="24"/>
          <w:lang w:val="en-GB"/>
        </w:rPr>
        <w:t xml:space="preserve">papers are in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252563" w:rsidRPr="002C4021">
        <w:rPr>
          <w:rFonts w:ascii="Times New Roman" w:hAnsi="Times New Roman" w:cs="Times New Roman"/>
          <w:sz w:val="24"/>
          <w:lang w:val="en-GB"/>
        </w:rPr>
        <w:t>category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Top 2</w:t>
      </w:r>
      <w:r w:rsidR="00252563" w:rsidRPr="002C4021">
        <w:rPr>
          <w:rFonts w:ascii="Times New Roman" w:hAnsi="Times New Roman" w:cs="Times New Roman"/>
          <w:sz w:val="24"/>
          <w:lang w:val="en-GB"/>
        </w:rPr>
        <w:t>0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-50%, </w:t>
      </w:r>
      <w:r w:rsidR="00252563" w:rsidRPr="002C4021">
        <w:rPr>
          <w:rFonts w:ascii="Times New Roman" w:hAnsi="Times New Roman" w:cs="Times New Roman"/>
          <w:sz w:val="24"/>
          <w:lang w:val="en-GB"/>
        </w:rPr>
        <w:t>while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56.94%</w:t>
      </w:r>
      <w:r w:rsidR="00E008B6" w:rsidRPr="002C4021">
        <w:rPr>
          <w:rFonts w:ascii="Times New Roman" w:hAnsi="Times New Roman" w:cs="Times New Roman"/>
          <w:sz w:val="24"/>
          <w:lang w:val="en-GB"/>
        </w:rPr>
        <w:t xml:space="preserve"> are, based on citation, in bottom-half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. </w:t>
      </w:r>
      <w:r w:rsidR="009E14C3" w:rsidRPr="002C4021">
        <w:rPr>
          <w:rFonts w:ascii="Times New Roman" w:hAnsi="Times New Roman" w:cs="Times New Roman"/>
          <w:sz w:val="24"/>
          <w:lang w:val="en-GB"/>
        </w:rPr>
        <w:t>Among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 the</w:t>
      </w:r>
      <w:r w:rsidR="009E14C3" w:rsidRPr="002C4021">
        <w:rPr>
          <w:rFonts w:ascii="Times New Roman" w:hAnsi="Times New Roman" w:cs="Times New Roman"/>
          <w:sz w:val="24"/>
          <w:lang w:val="en-GB"/>
        </w:rPr>
        <w:t xml:space="preserve"> leading institutes,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9E14C3" w:rsidRPr="002C4021">
        <w:rPr>
          <w:rFonts w:ascii="Times New Roman" w:hAnsi="Times New Roman" w:cs="Times New Roman"/>
          <w:sz w:val="24"/>
          <w:lang w:val="en-GB"/>
        </w:rPr>
        <w:t>Institute for multidisciplinary studies performs quite well with only 49.47% of papers in bottom-half (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9E14C3" w:rsidRPr="002C4021">
        <w:rPr>
          <w:rFonts w:ascii="Times New Roman" w:hAnsi="Times New Roman" w:cs="Times New Roman"/>
          <w:sz w:val="24"/>
          <w:lang w:val="en-GB"/>
        </w:rPr>
        <w:t xml:space="preserve">best result among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8C0B69" w:rsidRPr="002C4021">
        <w:rPr>
          <w:rFonts w:ascii="Times New Roman" w:hAnsi="Times New Roman" w:cs="Times New Roman"/>
          <w:sz w:val="24"/>
          <w:lang w:val="en-GB"/>
        </w:rPr>
        <w:t xml:space="preserve">leading institutes). On the other hand,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="000A582C" w:rsidRPr="002C4021">
        <w:rPr>
          <w:rFonts w:ascii="Times New Roman" w:hAnsi="Times New Roman" w:cs="Times New Roman"/>
          <w:sz w:val="24"/>
          <w:lang w:val="en-GB"/>
        </w:rPr>
        <w:t xml:space="preserve">aculties </w:t>
      </w:r>
      <w:r w:rsidR="003C0F8E" w:rsidRPr="002C4021">
        <w:rPr>
          <w:rFonts w:ascii="Times New Roman" w:hAnsi="Times New Roman" w:cs="Times New Roman"/>
          <w:sz w:val="24"/>
          <w:lang w:val="en-GB"/>
        </w:rPr>
        <w:t xml:space="preserve">of </w:t>
      </w:r>
      <w:r w:rsidR="0079020D">
        <w:rPr>
          <w:rFonts w:ascii="Times New Roman" w:hAnsi="Times New Roman" w:cs="Times New Roman"/>
          <w:sz w:val="24"/>
          <w:lang w:val="en-GB"/>
        </w:rPr>
        <w:t>m</w:t>
      </w:r>
      <w:r w:rsidR="003C0F8E" w:rsidRPr="002C4021">
        <w:rPr>
          <w:rFonts w:ascii="Times New Roman" w:hAnsi="Times New Roman" w:cs="Times New Roman"/>
          <w:sz w:val="24"/>
          <w:lang w:val="en-GB"/>
        </w:rPr>
        <w:t xml:space="preserve">edical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="003C0F8E" w:rsidRPr="002C4021">
        <w:rPr>
          <w:rFonts w:ascii="Times New Roman" w:hAnsi="Times New Roman" w:cs="Times New Roman"/>
          <w:sz w:val="24"/>
          <w:lang w:val="en-GB"/>
        </w:rPr>
        <w:t xml:space="preserve">ciences are far </w:t>
      </w:r>
      <w:r w:rsidR="00C31D91">
        <w:rPr>
          <w:rFonts w:ascii="Times New Roman" w:hAnsi="Times New Roman" w:cs="Times New Roman"/>
          <w:sz w:val="24"/>
          <w:lang w:val="en-GB"/>
        </w:rPr>
        <w:t>behind</w:t>
      </w:r>
      <w:r w:rsidR="00FD6A80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3C0F8E" w:rsidRPr="002C4021">
        <w:rPr>
          <w:rFonts w:ascii="Times New Roman" w:hAnsi="Times New Roman" w:cs="Times New Roman"/>
          <w:sz w:val="24"/>
          <w:lang w:val="en-GB"/>
        </w:rPr>
        <w:t>these results</w:t>
      </w:r>
      <w:r w:rsidR="00FD6A80" w:rsidRPr="002C4021">
        <w:rPr>
          <w:rFonts w:ascii="Times New Roman" w:hAnsi="Times New Roman" w:cs="Times New Roman"/>
          <w:sz w:val="24"/>
          <w:lang w:val="en-GB"/>
        </w:rPr>
        <w:t>,</w:t>
      </w:r>
      <w:r w:rsidR="003C0F8E" w:rsidRPr="002C4021">
        <w:rPr>
          <w:rFonts w:ascii="Times New Roman" w:hAnsi="Times New Roman" w:cs="Times New Roman"/>
          <w:sz w:val="24"/>
          <w:lang w:val="en-GB"/>
        </w:rPr>
        <w:t xml:space="preserve"> as can </w:t>
      </w:r>
      <w:r w:rsidR="00FD6A80" w:rsidRPr="002C4021">
        <w:rPr>
          <w:rFonts w:ascii="Times New Roman" w:hAnsi="Times New Roman" w:cs="Times New Roman"/>
          <w:sz w:val="24"/>
          <w:lang w:val="en-GB"/>
        </w:rPr>
        <w:t xml:space="preserve">be </w:t>
      </w:r>
      <w:r w:rsidR="0052757A" w:rsidRPr="002C4021">
        <w:rPr>
          <w:rFonts w:ascii="Times New Roman" w:hAnsi="Times New Roman" w:cs="Times New Roman"/>
          <w:sz w:val="24"/>
          <w:lang w:val="en-GB"/>
        </w:rPr>
        <w:t>see</w:t>
      </w:r>
      <w:r w:rsidR="00FD6A80" w:rsidRPr="002C4021">
        <w:rPr>
          <w:rFonts w:ascii="Times New Roman" w:hAnsi="Times New Roman" w:cs="Times New Roman"/>
          <w:sz w:val="24"/>
          <w:lang w:val="en-GB"/>
        </w:rPr>
        <w:t>n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3C0F8E" w:rsidRPr="002C4021">
        <w:rPr>
          <w:rFonts w:ascii="Times New Roman" w:hAnsi="Times New Roman" w:cs="Times New Roman"/>
          <w:sz w:val="24"/>
          <w:lang w:val="en-GB"/>
        </w:rPr>
        <w:t>from F</w:t>
      </w:r>
      <w:r w:rsidR="00565B81" w:rsidRPr="002C4021">
        <w:rPr>
          <w:rFonts w:ascii="Times New Roman" w:hAnsi="Times New Roman" w:cs="Times New Roman"/>
          <w:sz w:val="24"/>
          <w:lang w:val="en-GB"/>
        </w:rPr>
        <w:t>igure</w:t>
      </w:r>
      <w:r w:rsidR="003C0F8E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="004708B6" w:rsidRPr="002C4021">
        <w:rPr>
          <w:rFonts w:ascii="Times New Roman" w:hAnsi="Times New Roman" w:cs="Times New Roman"/>
          <w:sz w:val="24"/>
          <w:lang w:val="en-GB"/>
        </w:rPr>
        <w:t>1</w:t>
      </w:r>
      <w:r w:rsidR="00C013DB" w:rsidRPr="002C4021">
        <w:rPr>
          <w:rFonts w:ascii="Times New Roman" w:hAnsi="Times New Roman" w:cs="Times New Roman"/>
          <w:sz w:val="24"/>
          <w:lang w:val="en-GB"/>
        </w:rPr>
        <w:t>b.</w:t>
      </w:r>
    </w:p>
    <w:p w14:paraId="476E8327" w14:textId="77777777" w:rsidR="005114A1" w:rsidRPr="002C4021" w:rsidRDefault="005114A1" w:rsidP="00A37A4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1231E0C3" w14:textId="6A6A5348" w:rsidR="005114A1" w:rsidRPr="002C4021" w:rsidRDefault="005114A1" w:rsidP="005114A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FIGURE </w:t>
      </w:r>
      <w:r w:rsidR="002172FE" w:rsidRPr="002C4021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1a. Percentage of papers belonging to certain percentile groups (five leading institutes)</w:t>
      </w:r>
    </w:p>
    <w:p w14:paraId="56330A94" w14:textId="752E6CCD" w:rsidR="00C013DB" w:rsidRPr="002C4021" w:rsidRDefault="0036305C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6108525C" wp14:editId="1110F3A1">
            <wp:extent cx="5467350" cy="2470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73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8CA91" w14:textId="77777777" w:rsidR="002C24B7" w:rsidRPr="002C4021" w:rsidRDefault="002C24B7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704771C" w14:textId="77777777" w:rsidR="0036305C" w:rsidRPr="002C4021" w:rsidRDefault="0036305C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65D1523" w14:textId="77777777" w:rsidR="008A31FF" w:rsidRPr="002C4021" w:rsidRDefault="008A31FF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F9B34F2" w14:textId="77777777" w:rsidR="00B8061B" w:rsidRDefault="00B8061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28CB7812" w14:textId="77777777" w:rsidR="00B8061B" w:rsidRDefault="00B8061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52D4A20" w14:textId="104B0354" w:rsidR="004708B6" w:rsidRPr="002C4021" w:rsidRDefault="002C24B7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lastRenderedPageBreak/>
        <w:t xml:space="preserve">FIGURE </w:t>
      </w:r>
      <w:r w:rsidR="00565B81" w:rsidRPr="002C4021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1b. Percentage of papers belonging to certain percentile group (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m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edical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ciences)</w:t>
      </w:r>
    </w:p>
    <w:p w14:paraId="2471FDA1" w14:textId="0B4F4E89" w:rsidR="0036305C" w:rsidRPr="002C4021" w:rsidRDefault="0036305C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764B35A5" wp14:editId="0B94541D">
            <wp:extent cx="5440995" cy="2952677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41129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E769F" w14:textId="77777777" w:rsidR="0036305C" w:rsidRPr="002C4021" w:rsidRDefault="0036305C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6400AABE" w14:textId="439F9EE6" w:rsidR="00C013DB" w:rsidRPr="002C4021" w:rsidRDefault="0052730A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 xml:space="preserve">Although </w:t>
      </w:r>
      <w:r w:rsidR="0052757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Faculty of Biology has, besides 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Faculty of Chemistry, the largest </w:t>
      </w:r>
      <w:r w:rsidR="000702F6" w:rsidRPr="002C4021">
        <w:rPr>
          <w:rFonts w:ascii="Times New Roman" w:hAnsi="Times New Roman" w:cs="Times New Roman"/>
          <w:sz w:val="24"/>
          <w:lang w:val="en-GB"/>
        </w:rPr>
        <w:t xml:space="preserve">number of published papers among 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="006A26C8"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="006A26C8" w:rsidRPr="002C4021">
        <w:rPr>
          <w:rFonts w:ascii="Times New Roman" w:hAnsi="Times New Roman" w:cs="Times New Roman"/>
          <w:sz w:val="24"/>
          <w:lang w:val="en-GB"/>
        </w:rPr>
        <w:t xml:space="preserve">ciences and </w:t>
      </w:r>
      <w:r w:rsidR="0079020D">
        <w:rPr>
          <w:rFonts w:ascii="Times New Roman" w:hAnsi="Times New Roman" w:cs="Times New Roman"/>
          <w:sz w:val="24"/>
          <w:lang w:val="en-GB"/>
        </w:rPr>
        <w:t>m</w:t>
      </w:r>
      <w:r w:rsidR="006A26C8" w:rsidRPr="002C4021">
        <w:rPr>
          <w:rFonts w:ascii="Times New Roman" w:hAnsi="Times New Roman" w:cs="Times New Roman"/>
          <w:sz w:val="24"/>
          <w:lang w:val="en-GB"/>
        </w:rPr>
        <w:t>athematics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, </w:t>
      </w:r>
      <w:r w:rsidR="000702F6" w:rsidRPr="002C4021">
        <w:rPr>
          <w:rFonts w:ascii="Times New Roman" w:hAnsi="Times New Roman" w:cs="Times New Roman"/>
          <w:sz w:val="24"/>
          <w:lang w:val="en-GB"/>
        </w:rPr>
        <w:t>they are less cited than the other faculties from the group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 with</w:t>
      </w:r>
      <w:r w:rsidR="000702F6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70.14% </w:t>
      </w:r>
      <w:r w:rsidR="000702F6" w:rsidRPr="002C4021">
        <w:rPr>
          <w:rFonts w:ascii="Times New Roman" w:hAnsi="Times New Roman" w:cs="Times New Roman"/>
          <w:sz w:val="24"/>
          <w:lang w:val="en-GB"/>
        </w:rPr>
        <w:t xml:space="preserve">of papers </w:t>
      </w:r>
      <w:r w:rsidR="00FD6A80" w:rsidRPr="002C4021">
        <w:rPr>
          <w:rFonts w:ascii="Times New Roman" w:hAnsi="Times New Roman" w:cs="Times New Roman"/>
          <w:sz w:val="24"/>
          <w:lang w:val="en-GB"/>
        </w:rPr>
        <w:t xml:space="preserve">origination </w:t>
      </w:r>
      <w:r w:rsidR="000702F6" w:rsidRPr="002C4021">
        <w:rPr>
          <w:rFonts w:ascii="Times New Roman" w:hAnsi="Times New Roman" w:cs="Times New Roman"/>
          <w:sz w:val="24"/>
          <w:lang w:val="en-GB"/>
        </w:rPr>
        <w:t xml:space="preserve">from 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0702F6" w:rsidRPr="002C4021">
        <w:rPr>
          <w:rFonts w:ascii="Times New Roman" w:hAnsi="Times New Roman" w:cs="Times New Roman"/>
          <w:sz w:val="24"/>
          <w:lang w:val="en-GB"/>
        </w:rPr>
        <w:t>Faculty of Biology</w:t>
      </w:r>
      <w:r w:rsidR="003433B1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FD6A80" w:rsidRPr="002C4021">
        <w:rPr>
          <w:rFonts w:ascii="Times New Roman" w:hAnsi="Times New Roman" w:cs="Times New Roman"/>
          <w:sz w:val="24"/>
          <w:lang w:val="en-GB"/>
        </w:rPr>
        <w:t xml:space="preserve">appearing </w:t>
      </w:r>
      <w:r w:rsidR="000702F6" w:rsidRPr="002C4021">
        <w:rPr>
          <w:rFonts w:ascii="Times New Roman" w:hAnsi="Times New Roman" w:cs="Times New Roman"/>
          <w:sz w:val="24"/>
          <w:lang w:val="en-GB"/>
        </w:rPr>
        <w:t xml:space="preserve">in bottom-half of 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0702F6" w:rsidRPr="002C4021">
        <w:rPr>
          <w:rFonts w:ascii="Times New Roman" w:hAnsi="Times New Roman" w:cs="Times New Roman"/>
          <w:sz w:val="24"/>
          <w:lang w:val="en-GB"/>
        </w:rPr>
        <w:t>citation metrics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(</w:t>
      </w:r>
      <w:r w:rsidR="00565B81" w:rsidRPr="002C4021">
        <w:rPr>
          <w:rFonts w:ascii="Times New Roman" w:hAnsi="Times New Roman" w:cs="Times New Roman"/>
          <w:sz w:val="24"/>
          <w:lang w:val="en-GB"/>
        </w:rPr>
        <w:t>Figure</w:t>
      </w:r>
      <w:r w:rsidR="00D127C2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565B81" w:rsidRPr="002C4021">
        <w:rPr>
          <w:rFonts w:ascii="Times New Roman" w:hAnsi="Times New Roman" w:cs="Times New Roman"/>
          <w:sz w:val="24"/>
          <w:lang w:val="en-GB"/>
        </w:rPr>
        <w:t>S</w:t>
      </w:r>
      <w:r w:rsidR="004708B6" w:rsidRPr="002C4021">
        <w:rPr>
          <w:rFonts w:ascii="Times New Roman" w:hAnsi="Times New Roman" w:cs="Times New Roman"/>
          <w:sz w:val="24"/>
          <w:lang w:val="en-GB"/>
        </w:rPr>
        <w:t>1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c). </w:t>
      </w:r>
      <w:r w:rsidR="00E2263A" w:rsidRPr="002C4021">
        <w:rPr>
          <w:rFonts w:ascii="Times New Roman" w:hAnsi="Times New Roman" w:cs="Times New Roman"/>
          <w:sz w:val="24"/>
          <w:lang w:val="en-GB"/>
        </w:rPr>
        <w:t>On the other hand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, 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F50983" w:rsidRPr="002C4021">
        <w:rPr>
          <w:rFonts w:ascii="Times New Roman" w:hAnsi="Times New Roman" w:cs="Times New Roman"/>
          <w:sz w:val="24"/>
          <w:lang w:val="en-GB"/>
        </w:rPr>
        <w:t>Faculty of Technology and Metallurgy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(</w:t>
      </w:r>
      <w:r w:rsidR="002C24B7" w:rsidRPr="002C4021">
        <w:rPr>
          <w:rFonts w:ascii="Times New Roman" w:hAnsi="Times New Roman" w:cs="Times New Roman"/>
          <w:sz w:val="24"/>
          <w:lang w:val="en-GB"/>
        </w:rPr>
        <w:t>F</w:t>
      </w:r>
      <w:r w:rsidR="00565B81" w:rsidRPr="002C4021">
        <w:rPr>
          <w:rFonts w:ascii="Times New Roman" w:hAnsi="Times New Roman" w:cs="Times New Roman"/>
          <w:sz w:val="24"/>
          <w:lang w:val="en-GB"/>
        </w:rPr>
        <w:t>igure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565B81" w:rsidRPr="002C4021">
        <w:rPr>
          <w:rFonts w:ascii="Times New Roman" w:hAnsi="Times New Roman" w:cs="Times New Roman"/>
          <w:sz w:val="24"/>
          <w:lang w:val="en-GB"/>
        </w:rPr>
        <w:t>S</w:t>
      </w:r>
      <w:r w:rsidR="004708B6" w:rsidRPr="002C4021">
        <w:rPr>
          <w:rFonts w:ascii="Times New Roman" w:hAnsi="Times New Roman" w:cs="Times New Roman"/>
          <w:sz w:val="24"/>
          <w:lang w:val="en-GB"/>
        </w:rPr>
        <w:t>1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d) </w:t>
      </w:r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is </w:t>
      </w:r>
      <w:r w:rsidR="00375E1A" w:rsidRPr="002C4021">
        <w:rPr>
          <w:rFonts w:ascii="Times New Roman" w:hAnsi="Times New Roman" w:cs="Times New Roman"/>
          <w:sz w:val="24"/>
          <w:lang w:val="en-GB"/>
        </w:rPr>
        <w:t>shown to have</w:t>
      </w:r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 not only </w:t>
      </w:r>
      <w:proofErr w:type="gramStart"/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a </w:t>
      </w:r>
      <w:r w:rsidR="00F50983" w:rsidRPr="002C4021">
        <w:rPr>
          <w:rFonts w:ascii="Times New Roman" w:hAnsi="Times New Roman" w:cs="Times New Roman"/>
          <w:sz w:val="24"/>
          <w:lang w:val="en-GB"/>
        </w:rPr>
        <w:t>large number of</w:t>
      </w:r>
      <w:proofErr w:type="gramEnd"/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 published papers but </w:t>
      </w:r>
      <w:r w:rsidR="00375E1A" w:rsidRPr="002C4021">
        <w:rPr>
          <w:rFonts w:ascii="Times New Roman" w:hAnsi="Times New Roman" w:cs="Times New Roman"/>
          <w:sz w:val="24"/>
          <w:lang w:val="en-GB"/>
        </w:rPr>
        <w:t>also</w:t>
      </w:r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 a high citation score of those papers. </w:t>
      </w:r>
      <w:proofErr w:type="gramStart"/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In particular, </w:t>
      </w:r>
      <w:r w:rsidR="00C013DB" w:rsidRPr="002C4021">
        <w:rPr>
          <w:rFonts w:ascii="Times New Roman" w:hAnsi="Times New Roman" w:cs="Times New Roman"/>
          <w:sz w:val="24"/>
          <w:lang w:val="en-GB"/>
        </w:rPr>
        <w:t>0.43%</w:t>
      </w:r>
      <w:proofErr w:type="gramEnd"/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of papers are in </w:t>
      </w:r>
      <w:r w:rsidR="00FD6A80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group of best papers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(Top 1%), 7.04% </w:t>
      </w:r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of papers are in second group </w:t>
      </w:r>
      <w:r w:rsidR="00C013DB" w:rsidRPr="002C4021">
        <w:rPr>
          <w:rFonts w:ascii="Times New Roman" w:hAnsi="Times New Roman" w:cs="Times New Roman"/>
          <w:sz w:val="24"/>
          <w:lang w:val="en-GB"/>
        </w:rPr>
        <w:t>(</w:t>
      </w:r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papers rated as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Top 1-10% </w:t>
      </w:r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by citation 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in 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a 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certain </w:t>
      </w:r>
      <w:r w:rsidR="00E668D9" w:rsidRPr="002C4021">
        <w:rPr>
          <w:rFonts w:ascii="Times New Roman" w:hAnsi="Times New Roman" w:cs="Times New Roman"/>
          <w:sz w:val="24"/>
          <w:lang w:val="en-GB"/>
        </w:rPr>
        <w:t>research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field </w:t>
      </w:r>
      <w:r w:rsidR="00F50983" w:rsidRPr="002C4021">
        <w:rPr>
          <w:rFonts w:ascii="Times New Roman" w:hAnsi="Times New Roman" w:cs="Times New Roman"/>
          <w:sz w:val="24"/>
          <w:lang w:val="en-GB"/>
        </w:rPr>
        <w:t>for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 a</w:t>
      </w:r>
      <w:r w:rsidR="00F50983" w:rsidRPr="002C4021">
        <w:rPr>
          <w:rFonts w:ascii="Times New Roman" w:hAnsi="Times New Roman" w:cs="Times New Roman"/>
          <w:sz w:val="24"/>
          <w:lang w:val="en-GB"/>
        </w:rPr>
        <w:t xml:space="preserve"> particular </w:t>
      </w:r>
      <w:r w:rsidR="002B67D8" w:rsidRPr="002C4021">
        <w:rPr>
          <w:rFonts w:ascii="Times New Roman" w:hAnsi="Times New Roman" w:cs="Times New Roman"/>
          <w:sz w:val="24"/>
          <w:lang w:val="en-GB"/>
        </w:rPr>
        <w:t>year)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, 9.61% 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of papers published by researchers from 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Faculty of Technology and Metallurgy </w:t>
      </w:r>
      <w:r w:rsidR="006A26C8" w:rsidRPr="002C4021">
        <w:rPr>
          <w:rFonts w:ascii="Times New Roman" w:hAnsi="Times New Roman" w:cs="Times New Roman"/>
          <w:sz w:val="24"/>
          <w:lang w:val="en-GB"/>
        </w:rPr>
        <w:t>are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 in 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C013DB" w:rsidRPr="002C4021">
        <w:rPr>
          <w:rFonts w:ascii="Times New Roman" w:hAnsi="Times New Roman" w:cs="Times New Roman"/>
          <w:sz w:val="24"/>
          <w:lang w:val="en-GB"/>
        </w:rPr>
        <w:t>Top 10-2</w:t>
      </w:r>
      <w:r w:rsidR="006602FA" w:rsidRPr="002C4021">
        <w:rPr>
          <w:rFonts w:ascii="Times New Roman" w:hAnsi="Times New Roman" w:cs="Times New Roman"/>
          <w:sz w:val="24"/>
          <w:lang w:val="en-GB"/>
        </w:rPr>
        <w:t>0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%, 28.82% 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of papers are in </w:t>
      </w:r>
      <w:r w:rsidR="00C013DB" w:rsidRPr="002C4021">
        <w:rPr>
          <w:rFonts w:ascii="Times New Roman" w:hAnsi="Times New Roman" w:cs="Times New Roman"/>
          <w:sz w:val="24"/>
          <w:lang w:val="en-GB"/>
        </w:rPr>
        <w:t>Top 2</w:t>
      </w:r>
      <w:r w:rsidR="006602FA" w:rsidRPr="002C4021">
        <w:rPr>
          <w:rFonts w:ascii="Times New Roman" w:hAnsi="Times New Roman" w:cs="Times New Roman"/>
          <w:sz w:val="24"/>
          <w:lang w:val="en-GB"/>
        </w:rPr>
        <w:t>0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-50%, 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while </w:t>
      </w:r>
      <w:r w:rsidR="00C013DB" w:rsidRPr="002C4021">
        <w:rPr>
          <w:rFonts w:ascii="Times New Roman" w:hAnsi="Times New Roman" w:cs="Times New Roman"/>
          <w:sz w:val="24"/>
          <w:lang w:val="en-GB"/>
        </w:rPr>
        <w:t xml:space="preserve">54.11% 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of papers are placed in bottom-half. </w:t>
      </w:r>
      <w:r w:rsidR="00375E1A" w:rsidRPr="002C4021">
        <w:rPr>
          <w:rFonts w:ascii="Times New Roman" w:hAnsi="Times New Roman" w:cs="Times New Roman"/>
          <w:sz w:val="24"/>
          <w:lang w:val="en-GB"/>
        </w:rPr>
        <w:t>The r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esults from </w:t>
      </w:r>
      <w:r w:rsidR="00375E1A" w:rsidRPr="002C4021">
        <w:rPr>
          <w:rFonts w:ascii="Times New Roman" w:hAnsi="Times New Roman" w:cs="Times New Roman"/>
          <w:sz w:val="24"/>
          <w:lang w:val="en-GB"/>
        </w:rPr>
        <w:t xml:space="preserve">the 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remaining </w:t>
      </w:r>
      <w:r w:rsidR="0079020D">
        <w:rPr>
          <w:rFonts w:ascii="Times New Roman" w:hAnsi="Times New Roman" w:cs="Times New Roman"/>
          <w:sz w:val="24"/>
          <w:lang w:val="en-GB"/>
        </w:rPr>
        <w:t>t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echnology and </w:t>
      </w:r>
      <w:r w:rsidR="0079020D">
        <w:rPr>
          <w:rFonts w:ascii="Times New Roman" w:hAnsi="Times New Roman" w:cs="Times New Roman"/>
          <w:sz w:val="24"/>
          <w:lang w:val="en-GB"/>
        </w:rPr>
        <w:t>e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ngineering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ciences 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="002C24B7" w:rsidRPr="002C4021">
        <w:rPr>
          <w:rFonts w:ascii="Times New Roman" w:hAnsi="Times New Roman" w:cs="Times New Roman"/>
          <w:sz w:val="24"/>
          <w:lang w:val="en-GB"/>
        </w:rPr>
        <w:t>aculties are presented in F</w:t>
      </w:r>
      <w:r w:rsidR="00565B81" w:rsidRPr="002C4021">
        <w:rPr>
          <w:rFonts w:ascii="Times New Roman" w:hAnsi="Times New Roman" w:cs="Times New Roman"/>
          <w:sz w:val="24"/>
          <w:lang w:val="en-GB"/>
        </w:rPr>
        <w:t>igure</w:t>
      </w:r>
      <w:r w:rsidR="002B67D8" w:rsidRPr="002C4021">
        <w:rPr>
          <w:rFonts w:ascii="Times New Roman" w:hAnsi="Times New Roman" w:cs="Times New Roman"/>
          <w:sz w:val="24"/>
          <w:lang w:val="en-GB"/>
        </w:rPr>
        <w:t xml:space="preserve"> </w:t>
      </w:r>
      <w:r w:rsidR="00565B81" w:rsidRPr="002C4021">
        <w:rPr>
          <w:rFonts w:ascii="Times New Roman" w:hAnsi="Times New Roman" w:cs="Times New Roman"/>
          <w:sz w:val="24"/>
          <w:lang w:val="en-GB"/>
        </w:rPr>
        <w:t>S</w:t>
      </w:r>
      <w:r w:rsidR="004708B6" w:rsidRPr="002C4021">
        <w:rPr>
          <w:rFonts w:ascii="Times New Roman" w:hAnsi="Times New Roman" w:cs="Times New Roman"/>
          <w:sz w:val="24"/>
          <w:lang w:val="en-GB"/>
        </w:rPr>
        <w:t>1</w:t>
      </w:r>
      <w:r w:rsidR="00C013DB" w:rsidRPr="002C4021">
        <w:rPr>
          <w:rFonts w:ascii="Times New Roman" w:hAnsi="Times New Roman" w:cs="Times New Roman"/>
          <w:sz w:val="24"/>
          <w:lang w:val="en-GB"/>
        </w:rPr>
        <w:t>e.</w:t>
      </w:r>
    </w:p>
    <w:p w14:paraId="4D1980FF" w14:textId="77777777" w:rsidR="002C24B7" w:rsidRPr="002C4021" w:rsidRDefault="002C24B7" w:rsidP="002C24B7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14:paraId="3DF166C9" w14:textId="77777777" w:rsidR="0036305C" w:rsidRPr="002C4021" w:rsidRDefault="0036305C">
      <w:pPr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br w:type="page"/>
      </w:r>
    </w:p>
    <w:p w14:paraId="7516576E" w14:textId="7A07748C" w:rsidR="00C013DB" w:rsidRPr="002C4021" w:rsidRDefault="002C24B7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lastRenderedPageBreak/>
        <w:t xml:space="preserve">FIGURE </w:t>
      </w:r>
      <w:r w:rsidR="00565B81" w:rsidRPr="002C4021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1c. Percentage of papers belonging to certain percentile group (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ciences and </w:t>
      </w:r>
      <w:r w:rsidR="0079020D">
        <w:rPr>
          <w:rFonts w:ascii="Times New Roman" w:hAnsi="Times New Roman" w:cs="Times New Roman"/>
          <w:sz w:val="24"/>
          <w:lang w:val="en-GB"/>
        </w:rPr>
        <w:t>m</w:t>
      </w:r>
      <w:r w:rsidRPr="002C4021">
        <w:rPr>
          <w:rFonts w:ascii="Times New Roman" w:hAnsi="Times New Roman" w:cs="Times New Roman"/>
          <w:sz w:val="24"/>
          <w:lang w:val="en-GB"/>
        </w:rPr>
        <w:t>athematics)</w:t>
      </w:r>
    </w:p>
    <w:p w14:paraId="2B25BDC4" w14:textId="3A5C6696" w:rsidR="0036305C" w:rsidRPr="002C4021" w:rsidRDefault="0036305C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0C4AC85D" wp14:editId="4067B1EB">
            <wp:extent cx="5492750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84BEE" w14:textId="55E5AF38" w:rsidR="003B2B60" w:rsidRPr="002C4021" w:rsidRDefault="003B2B60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677FD54D" w14:textId="7208ED47" w:rsidR="003B2B60" w:rsidRPr="002C4021" w:rsidRDefault="003B2B60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t>FIGURE S1d. Percentage of papers belonging to certain percentile group (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t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echnology and </w:t>
      </w:r>
      <w:r w:rsidR="0079020D">
        <w:rPr>
          <w:rFonts w:ascii="Times New Roman" w:hAnsi="Times New Roman" w:cs="Times New Roman"/>
          <w:sz w:val="24"/>
          <w:lang w:val="en-GB"/>
        </w:rPr>
        <w:t>e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ngineering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ciences - top 5)</w:t>
      </w:r>
    </w:p>
    <w:p w14:paraId="199FDFE2" w14:textId="6CF08FEA" w:rsidR="002C24B7" w:rsidRPr="002C4021" w:rsidRDefault="0036305C" w:rsidP="002C24B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 wp14:anchorId="4EA1CE15" wp14:editId="14AFD499">
            <wp:extent cx="5480050" cy="2432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00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35909" w14:textId="772D0103" w:rsidR="00C013DB" w:rsidRPr="002C4021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14D92B0E" w14:textId="77777777" w:rsidR="002C24B7" w:rsidRPr="002C4021" w:rsidRDefault="002C24B7" w:rsidP="002C24B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4CBFA6DA" w14:textId="77777777" w:rsidR="003B2B60" w:rsidRPr="002C4021" w:rsidRDefault="003B2B60">
      <w:pPr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br w:type="page"/>
      </w:r>
    </w:p>
    <w:p w14:paraId="204FACEB" w14:textId="11B09FF1" w:rsidR="00C013DB" w:rsidRPr="002C4021" w:rsidRDefault="002C24B7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  <w:r w:rsidRPr="002C4021">
        <w:rPr>
          <w:rFonts w:ascii="Times New Roman" w:hAnsi="Times New Roman" w:cs="Times New Roman"/>
          <w:sz w:val="24"/>
          <w:lang w:val="en-GB"/>
        </w:rPr>
        <w:lastRenderedPageBreak/>
        <w:t xml:space="preserve">FIGURE </w:t>
      </w:r>
      <w:r w:rsidR="00565B81" w:rsidRPr="002C4021">
        <w:rPr>
          <w:rFonts w:ascii="Times New Roman" w:hAnsi="Times New Roman" w:cs="Times New Roman"/>
          <w:sz w:val="24"/>
          <w:lang w:val="en-GB"/>
        </w:rPr>
        <w:t>S1</w:t>
      </w:r>
      <w:r w:rsidRPr="002C4021">
        <w:rPr>
          <w:rFonts w:ascii="Times New Roman" w:hAnsi="Times New Roman" w:cs="Times New Roman"/>
          <w:sz w:val="24"/>
          <w:lang w:val="en-GB"/>
        </w:rPr>
        <w:t>e. Percentage of papers belonging to certain percentile group (</w:t>
      </w:r>
      <w:r w:rsidR="0079020D">
        <w:rPr>
          <w:rFonts w:ascii="Times New Roman" w:hAnsi="Times New Roman" w:cs="Times New Roman"/>
          <w:sz w:val="24"/>
          <w:lang w:val="en-GB"/>
        </w:rPr>
        <w:t>f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aculties of </w:t>
      </w:r>
      <w:r w:rsidR="0079020D">
        <w:rPr>
          <w:rFonts w:ascii="Times New Roman" w:hAnsi="Times New Roman" w:cs="Times New Roman"/>
          <w:sz w:val="24"/>
          <w:lang w:val="en-GB"/>
        </w:rPr>
        <w:t>t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echnology and </w:t>
      </w:r>
      <w:r w:rsidR="0079020D">
        <w:rPr>
          <w:rFonts w:ascii="Times New Roman" w:hAnsi="Times New Roman" w:cs="Times New Roman"/>
          <w:sz w:val="24"/>
          <w:lang w:val="en-GB"/>
        </w:rPr>
        <w:t>e</w:t>
      </w:r>
      <w:r w:rsidRPr="002C4021">
        <w:rPr>
          <w:rFonts w:ascii="Times New Roman" w:hAnsi="Times New Roman" w:cs="Times New Roman"/>
          <w:sz w:val="24"/>
          <w:lang w:val="en-GB"/>
        </w:rPr>
        <w:t xml:space="preserve">ngineering </w:t>
      </w:r>
      <w:r w:rsidR="0079020D">
        <w:rPr>
          <w:rFonts w:ascii="Times New Roman" w:hAnsi="Times New Roman" w:cs="Times New Roman"/>
          <w:sz w:val="24"/>
          <w:lang w:val="en-GB"/>
        </w:rPr>
        <w:t>s</w:t>
      </w:r>
      <w:r w:rsidRPr="002C4021">
        <w:rPr>
          <w:rFonts w:ascii="Times New Roman" w:hAnsi="Times New Roman" w:cs="Times New Roman"/>
          <w:sz w:val="24"/>
          <w:lang w:val="en-GB"/>
        </w:rPr>
        <w:t>ciences - rest)</w:t>
      </w:r>
    </w:p>
    <w:p w14:paraId="1E11D68A" w14:textId="77777777" w:rsidR="00C013DB" w:rsidRPr="002C4021" w:rsidRDefault="00C013DB" w:rsidP="00CB332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14:paraId="79F6A7F0" w14:textId="3AC354CF" w:rsidR="003B2B60" w:rsidRPr="002C4021" w:rsidRDefault="003B2B60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402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7C4503F" wp14:editId="2ECA515B">
            <wp:extent cx="5473700" cy="2482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737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2F318" w14:textId="77777777" w:rsidR="003B2B60" w:rsidRPr="002C4021" w:rsidRDefault="003B2B60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DF63BC" w14:textId="38278FC3" w:rsidR="00821CB4" w:rsidRPr="00AB35BD" w:rsidRDefault="00E668D9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4021">
        <w:rPr>
          <w:rFonts w:ascii="Times New Roman" w:hAnsi="Times New Roman" w:cs="Times New Roman"/>
          <w:sz w:val="24"/>
          <w:szCs w:val="24"/>
          <w:lang w:val="en-GB"/>
        </w:rPr>
        <w:t xml:space="preserve">Particularly impressive is the performance of Faculty of </w:t>
      </w:r>
      <w:r w:rsidR="00477610" w:rsidRPr="002C4021">
        <w:rPr>
          <w:rFonts w:ascii="Times New Roman" w:hAnsi="Times New Roman" w:cs="Times New Roman"/>
          <w:sz w:val="24"/>
          <w:szCs w:val="24"/>
          <w:lang w:val="en-GB"/>
        </w:rPr>
        <w:t>Mathematics</w:t>
      </w:r>
      <w:r w:rsidRPr="002C4021">
        <w:rPr>
          <w:rFonts w:ascii="Times New Roman" w:hAnsi="Times New Roman" w:cs="Times New Roman"/>
          <w:sz w:val="24"/>
          <w:szCs w:val="24"/>
          <w:lang w:val="en-GB"/>
        </w:rPr>
        <w:t xml:space="preserve"> and Faculty of Mechanical Engineering which </w:t>
      </w:r>
      <w:r w:rsidR="00477610" w:rsidRPr="002C4021">
        <w:rPr>
          <w:rFonts w:ascii="Times New Roman" w:hAnsi="Times New Roman" w:cs="Times New Roman"/>
          <w:sz w:val="24"/>
          <w:szCs w:val="24"/>
          <w:lang w:val="en-GB"/>
        </w:rPr>
        <w:t>exceed in terms of Top 1% publications, with 2.38% and 2.49% respectively.</w:t>
      </w:r>
    </w:p>
    <w:p w14:paraId="14F12726" w14:textId="027792E8" w:rsidR="00E668D9" w:rsidRPr="00AB35BD" w:rsidRDefault="00E668D9" w:rsidP="002F3D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E668D9" w:rsidRPr="00AB35BD">
      <w:footerReference w:type="default" r:id="rId13"/>
      <w:footnotePr>
        <w:numFmt w:val="lowerLetter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6CA5" w14:textId="77777777" w:rsidR="00D2600E" w:rsidRDefault="00D2600E" w:rsidP="00C013DB">
      <w:pPr>
        <w:spacing w:after="0" w:line="240" w:lineRule="auto"/>
      </w:pPr>
      <w:r>
        <w:separator/>
      </w:r>
    </w:p>
  </w:endnote>
  <w:endnote w:type="continuationSeparator" w:id="0">
    <w:p w14:paraId="25446327" w14:textId="77777777" w:rsidR="00D2600E" w:rsidRDefault="00D2600E" w:rsidP="00C0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916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07FB7" w14:textId="0A419420" w:rsidR="002F3D57" w:rsidRDefault="002F3D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CB771C5" w14:textId="77777777" w:rsidR="002F3D57" w:rsidRDefault="002F3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7EEFE" w14:textId="77777777" w:rsidR="00D2600E" w:rsidRDefault="00D2600E" w:rsidP="00C013DB">
      <w:pPr>
        <w:spacing w:after="0" w:line="240" w:lineRule="auto"/>
      </w:pPr>
      <w:r>
        <w:separator/>
      </w:r>
    </w:p>
  </w:footnote>
  <w:footnote w:type="continuationSeparator" w:id="0">
    <w:p w14:paraId="02CE9936" w14:textId="77777777" w:rsidR="00D2600E" w:rsidRDefault="00D2600E" w:rsidP="00C013DB">
      <w:pPr>
        <w:spacing w:after="0" w:line="240" w:lineRule="auto"/>
      </w:pPr>
      <w:r>
        <w:continuationSeparator/>
      </w:r>
    </w:p>
  </w:footnote>
  <w:footnote w:id="1">
    <w:p w14:paraId="0CAB58BF" w14:textId="45DB385A" w:rsidR="00AA4017" w:rsidRPr="005F52D7" w:rsidRDefault="00AA4017" w:rsidP="00AA4017">
      <w:pPr>
        <w:pStyle w:val="FootnoteText"/>
        <w:jc w:val="both"/>
        <w:rPr>
          <w:rFonts w:ascii="Times New Roman" w:hAnsi="Times New Roman" w:cs="Times New Roman"/>
        </w:rPr>
      </w:pPr>
      <w:r w:rsidRPr="005F52D7">
        <w:rPr>
          <w:rStyle w:val="FootnoteReference"/>
          <w:rFonts w:ascii="Times New Roman" w:hAnsi="Times New Roman" w:cs="Times New Roman"/>
        </w:rPr>
        <w:footnoteRef/>
      </w:r>
      <w:r w:rsidRPr="005F5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5F52D7">
        <w:rPr>
          <w:rFonts w:ascii="Times New Roman" w:hAnsi="Times New Roman" w:cs="Times New Roman"/>
        </w:rPr>
        <w:t xml:space="preserve">Faculty of Architecture and </w:t>
      </w:r>
      <w:r w:rsidR="0079020D">
        <w:rPr>
          <w:rFonts w:ascii="Times New Roman" w:hAnsi="Times New Roman" w:cs="Times New Roman"/>
        </w:rPr>
        <w:t>f</w:t>
      </w:r>
      <w:r w:rsidRPr="005F52D7">
        <w:rPr>
          <w:rFonts w:ascii="Times New Roman" w:hAnsi="Times New Roman" w:cs="Times New Roman"/>
        </w:rPr>
        <w:t xml:space="preserve">aculties of </w:t>
      </w:r>
      <w:r w:rsidR="0079020D">
        <w:rPr>
          <w:rFonts w:ascii="Times New Roman" w:hAnsi="Times New Roman" w:cs="Times New Roman"/>
        </w:rPr>
        <w:t>s</w:t>
      </w:r>
      <w:r w:rsidRPr="005F52D7">
        <w:rPr>
          <w:rFonts w:ascii="Times New Roman" w:hAnsi="Times New Roman" w:cs="Times New Roman"/>
        </w:rPr>
        <w:t>ocial</w:t>
      </w:r>
      <w:r>
        <w:rPr>
          <w:rFonts w:ascii="Times New Roman" w:hAnsi="Times New Roman" w:cs="Times New Roman"/>
        </w:rPr>
        <w:t xml:space="preserve"> </w:t>
      </w:r>
      <w:r w:rsidR="0079020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ciences and </w:t>
      </w:r>
      <w:r w:rsidR="0079020D">
        <w:rPr>
          <w:rFonts w:ascii="Times New Roman" w:hAnsi="Times New Roman" w:cs="Times New Roman"/>
        </w:rPr>
        <w:t>h</w:t>
      </w:r>
      <w:r w:rsidRPr="005F52D7">
        <w:rPr>
          <w:rFonts w:ascii="Times New Roman" w:hAnsi="Times New Roman" w:cs="Times New Roman"/>
        </w:rPr>
        <w:t>umani</w:t>
      </w:r>
      <w:r>
        <w:rPr>
          <w:rFonts w:ascii="Times New Roman" w:hAnsi="Times New Roman" w:cs="Times New Roman"/>
        </w:rPr>
        <w:t>ties</w:t>
      </w:r>
      <w:r w:rsidRPr="005F52D7">
        <w:rPr>
          <w:rFonts w:ascii="Times New Roman" w:hAnsi="Times New Roman" w:cs="Times New Roman"/>
        </w:rPr>
        <w:t xml:space="preserve"> group have not been presented </w:t>
      </w:r>
      <w:r>
        <w:rPr>
          <w:rFonts w:ascii="Times New Roman" w:hAnsi="Times New Roman" w:cs="Times New Roman"/>
        </w:rPr>
        <w:t>due to the relatively small number of published papers</w:t>
      </w:r>
    </w:p>
  </w:footnote>
  <w:footnote w:id="2">
    <w:p w14:paraId="2547AA5C" w14:textId="3959008E" w:rsidR="00470338" w:rsidRPr="00470338" w:rsidRDefault="00470338" w:rsidP="0047033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6467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6467A">
        <w:rPr>
          <w:rFonts w:ascii="Times New Roman" w:hAnsi="Times New Roman" w:cs="Times New Roman"/>
          <w:sz w:val="20"/>
          <w:szCs w:val="20"/>
        </w:rPr>
        <w:t xml:space="preserve"> </w:t>
      </w:r>
      <w:r w:rsidRPr="00B6467A">
        <w:rPr>
          <w:rFonts w:ascii="Times New Roman" w:hAnsi="Times New Roman" w:cs="Times New Roman"/>
          <w:sz w:val="20"/>
          <w:szCs w:val="20"/>
          <w:lang w:val="en-GB"/>
        </w:rPr>
        <w:t xml:space="preserve">Zivkovic et al. used web site of each faculty for the year 2015 as the source of data for number of employed academic staff; our analysis covered </w:t>
      </w:r>
      <w:r w:rsidR="00BD1F5D" w:rsidRPr="00B6467A">
        <w:rPr>
          <w:rFonts w:ascii="Times New Roman" w:hAnsi="Times New Roman" w:cs="Times New Roman"/>
          <w:sz w:val="20"/>
          <w:szCs w:val="20"/>
          <w:lang w:val="en-GB"/>
        </w:rPr>
        <w:t xml:space="preserve">papers published in </w:t>
      </w:r>
      <w:r w:rsidRPr="00B6467A">
        <w:rPr>
          <w:rFonts w:ascii="Times New Roman" w:hAnsi="Times New Roman" w:cs="Times New Roman"/>
          <w:sz w:val="20"/>
          <w:szCs w:val="20"/>
          <w:lang w:val="en-GB"/>
        </w:rPr>
        <w:t>2009-2016 period</w:t>
      </w:r>
      <w:r w:rsidR="00002CDF" w:rsidRPr="00B6467A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B6467A">
        <w:rPr>
          <w:rFonts w:ascii="Times New Roman" w:hAnsi="Times New Roman" w:cs="Times New Roman"/>
          <w:sz w:val="20"/>
          <w:szCs w:val="20"/>
          <w:lang w:val="en-GB"/>
        </w:rPr>
        <w:t xml:space="preserve"> so the indicator Publications per Researche</w:t>
      </w:r>
      <w:r w:rsidR="009E2661" w:rsidRPr="00B6467A">
        <w:rPr>
          <w:rFonts w:ascii="Times New Roman" w:hAnsi="Times New Roman" w:cs="Times New Roman"/>
          <w:sz w:val="20"/>
          <w:szCs w:val="20"/>
          <w:lang w:val="en-GB"/>
        </w:rPr>
        <w:t>r should be interpreted with care;</w:t>
      </w:r>
      <w:r w:rsidRPr="00B6467A">
        <w:rPr>
          <w:rFonts w:ascii="Times New Roman" w:hAnsi="Times New Roman" w:cs="Times New Roman"/>
          <w:sz w:val="20"/>
          <w:szCs w:val="20"/>
          <w:lang w:val="en-GB"/>
        </w:rPr>
        <w:t xml:space="preserve"> the institutes were not included into the Zivkovic et al. paper.</w:t>
      </w:r>
    </w:p>
    <w:p w14:paraId="3387A3A4" w14:textId="3B8890BE" w:rsidR="00470338" w:rsidRDefault="0047033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1A31"/>
    <w:multiLevelType w:val="multilevel"/>
    <w:tmpl w:val="F6C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34242"/>
    <w:multiLevelType w:val="hybridMultilevel"/>
    <w:tmpl w:val="4B822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xNTU3MTU2tAAiQyUdpeDU4uLM/DyQAmOjWgBK7fbtLQAAAA=="/>
  </w:docVars>
  <w:rsids>
    <w:rsidRoot w:val="00527DC0"/>
    <w:rsid w:val="00002CDF"/>
    <w:rsid w:val="000174DB"/>
    <w:rsid w:val="0003253C"/>
    <w:rsid w:val="00033F36"/>
    <w:rsid w:val="000412C1"/>
    <w:rsid w:val="000426B8"/>
    <w:rsid w:val="00043048"/>
    <w:rsid w:val="000516C0"/>
    <w:rsid w:val="000543E8"/>
    <w:rsid w:val="000702F6"/>
    <w:rsid w:val="00071786"/>
    <w:rsid w:val="0007293F"/>
    <w:rsid w:val="000770CD"/>
    <w:rsid w:val="00091D9D"/>
    <w:rsid w:val="000A0AEA"/>
    <w:rsid w:val="000A582C"/>
    <w:rsid w:val="000B2B1E"/>
    <w:rsid w:val="000C2DB6"/>
    <w:rsid w:val="000E7F4D"/>
    <w:rsid w:val="000F6D36"/>
    <w:rsid w:val="000F7100"/>
    <w:rsid w:val="001737CA"/>
    <w:rsid w:val="001A3069"/>
    <w:rsid w:val="001A6CD0"/>
    <w:rsid w:val="001A76F2"/>
    <w:rsid w:val="001D0ADB"/>
    <w:rsid w:val="001D0DEC"/>
    <w:rsid w:val="001D3100"/>
    <w:rsid w:val="002009FA"/>
    <w:rsid w:val="0020136D"/>
    <w:rsid w:val="00203065"/>
    <w:rsid w:val="002172FE"/>
    <w:rsid w:val="00231BF6"/>
    <w:rsid w:val="00232568"/>
    <w:rsid w:val="00252563"/>
    <w:rsid w:val="00271E7E"/>
    <w:rsid w:val="00296D39"/>
    <w:rsid w:val="002A1EA7"/>
    <w:rsid w:val="002B1382"/>
    <w:rsid w:val="002B67D8"/>
    <w:rsid w:val="002C0AB5"/>
    <w:rsid w:val="002C24B7"/>
    <w:rsid w:val="002C4021"/>
    <w:rsid w:val="002C7BAE"/>
    <w:rsid w:val="002F3D57"/>
    <w:rsid w:val="00300FA4"/>
    <w:rsid w:val="00307C08"/>
    <w:rsid w:val="003334E1"/>
    <w:rsid w:val="00335696"/>
    <w:rsid w:val="00335B50"/>
    <w:rsid w:val="003376A1"/>
    <w:rsid w:val="00343064"/>
    <w:rsid w:val="003433B1"/>
    <w:rsid w:val="003464CC"/>
    <w:rsid w:val="00352478"/>
    <w:rsid w:val="003604A1"/>
    <w:rsid w:val="0036305C"/>
    <w:rsid w:val="003653E2"/>
    <w:rsid w:val="00366DB2"/>
    <w:rsid w:val="00375804"/>
    <w:rsid w:val="00375E1A"/>
    <w:rsid w:val="003870F3"/>
    <w:rsid w:val="0038756D"/>
    <w:rsid w:val="003B2B60"/>
    <w:rsid w:val="003C0F8E"/>
    <w:rsid w:val="003C47E2"/>
    <w:rsid w:val="003D2BED"/>
    <w:rsid w:val="003D6846"/>
    <w:rsid w:val="003F1CE5"/>
    <w:rsid w:val="004100B0"/>
    <w:rsid w:val="0041039F"/>
    <w:rsid w:val="004356D6"/>
    <w:rsid w:val="0044050B"/>
    <w:rsid w:val="0046005F"/>
    <w:rsid w:val="00470338"/>
    <w:rsid w:val="004708B6"/>
    <w:rsid w:val="00477610"/>
    <w:rsid w:val="0049304D"/>
    <w:rsid w:val="004945F4"/>
    <w:rsid w:val="004A7919"/>
    <w:rsid w:val="004B1ED4"/>
    <w:rsid w:val="004D359D"/>
    <w:rsid w:val="00500E40"/>
    <w:rsid w:val="00501C14"/>
    <w:rsid w:val="005034E5"/>
    <w:rsid w:val="00505B30"/>
    <w:rsid w:val="005110A5"/>
    <w:rsid w:val="005114A1"/>
    <w:rsid w:val="00515398"/>
    <w:rsid w:val="0051729E"/>
    <w:rsid w:val="005211B9"/>
    <w:rsid w:val="00523EA5"/>
    <w:rsid w:val="0052730A"/>
    <w:rsid w:val="0052757A"/>
    <w:rsid w:val="00527DC0"/>
    <w:rsid w:val="0053048F"/>
    <w:rsid w:val="005633A5"/>
    <w:rsid w:val="00565B81"/>
    <w:rsid w:val="00565DD0"/>
    <w:rsid w:val="00566811"/>
    <w:rsid w:val="00567190"/>
    <w:rsid w:val="00581A26"/>
    <w:rsid w:val="00583218"/>
    <w:rsid w:val="0058342C"/>
    <w:rsid w:val="00593173"/>
    <w:rsid w:val="00595CCE"/>
    <w:rsid w:val="005A0FD8"/>
    <w:rsid w:val="005A4424"/>
    <w:rsid w:val="005A6F98"/>
    <w:rsid w:val="005B0D9C"/>
    <w:rsid w:val="005B58B9"/>
    <w:rsid w:val="005D2D45"/>
    <w:rsid w:val="005D7D2C"/>
    <w:rsid w:val="005F52D7"/>
    <w:rsid w:val="005F5719"/>
    <w:rsid w:val="00621968"/>
    <w:rsid w:val="00622C85"/>
    <w:rsid w:val="0062441A"/>
    <w:rsid w:val="006362BA"/>
    <w:rsid w:val="006451A6"/>
    <w:rsid w:val="006602FA"/>
    <w:rsid w:val="00665396"/>
    <w:rsid w:val="00665C86"/>
    <w:rsid w:val="00666395"/>
    <w:rsid w:val="00677C2C"/>
    <w:rsid w:val="00684F9C"/>
    <w:rsid w:val="00690316"/>
    <w:rsid w:val="006A26C8"/>
    <w:rsid w:val="006A4D84"/>
    <w:rsid w:val="006A6DA7"/>
    <w:rsid w:val="006A799B"/>
    <w:rsid w:val="006B663D"/>
    <w:rsid w:val="006B78A3"/>
    <w:rsid w:val="006C1CE2"/>
    <w:rsid w:val="006D3123"/>
    <w:rsid w:val="006F266B"/>
    <w:rsid w:val="006F6659"/>
    <w:rsid w:val="0071300B"/>
    <w:rsid w:val="007151BB"/>
    <w:rsid w:val="00731745"/>
    <w:rsid w:val="00735D68"/>
    <w:rsid w:val="007757CF"/>
    <w:rsid w:val="0078473E"/>
    <w:rsid w:val="0079020D"/>
    <w:rsid w:val="0079323C"/>
    <w:rsid w:val="007948DD"/>
    <w:rsid w:val="007B50C3"/>
    <w:rsid w:val="007B6CFA"/>
    <w:rsid w:val="007D3174"/>
    <w:rsid w:val="007F07CF"/>
    <w:rsid w:val="00800536"/>
    <w:rsid w:val="00800CB1"/>
    <w:rsid w:val="00821CB4"/>
    <w:rsid w:val="0083296D"/>
    <w:rsid w:val="008356E7"/>
    <w:rsid w:val="008376C2"/>
    <w:rsid w:val="0084590F"/>
    <w:rsid w:val="00850230"/>
    <w:rsid w:val="00856A6B"/>
    <w:rsid w:val="008677DD"/>
    <w:rsid w:val="008A18B7"/>
    <w:rsid w:val="008A31FF"/>
    <w:rsid w:val="008C0B69"/>
    <w:rsid w:val="008C663C"/>
    <w:rsid w:val="008D23C4"/>
    <w:rsid w:val="008E14F2"/>
    <w:rsid w:val="008F0D6A"/>
    <w:rsid w:val="008F6D2F"/>
    <w:rsid w:val="008F7B03"/>
    <w:rsid w:val="009236BC"/>
    <w:rsid w:val="009275FF"/>
    <w:rsid w:val="00931F31"/>
    <w:rsid w:val="009324F6"/>
    <w:rsid w:val="00937192"/>
    <w:rsid w:val="00940C06"/>
    <w:rsid w:val="00940ECB"/>
    <w:rsid w:val="009439D0"/>
    <w:rsid w:val="00947851"/>
    <w:rsid w:val="00947C6D"/>
    <w:rsid w:val="00995C92"/>
    <w:rsid w:val="009C2FCE"/>
    <w:rsid w:val="009C73A2"/>
    <w:rsid w:val="009E14C3"/>
    <w:rsid w:val="009E2661"/>
    <w:rsid w:val="009F596E"/>
    <w:rsid w:val="009F754C"/>
    <w:rsid w:val="00A0693C"/>
    <w:rsid w:val="00A12AB6"/>
    <w:rsid w:val="00A27580"/>
    <w:rsid w:val="00A30808"/>
    <w:rsid w:val="00A30935"/>
    <w:rsid w:val="00A33586"/>
    <w:rsid w:val="00A346ED"/>
    <w:rsid w:val="00A355BB"/>
    <w:rsid w:val="00A372A3"/>
    <w:rsid w:val="00A37A40"/>
    <w:rsid w:val="00A5130F"/>
    <w:rsid w:val="00A570CB"/>
    <w:rsid w:val="00AA03A4"/>
    <w:rsid w:val="00AA4017"/>
    <w:rsid w:val="00AA447C"/>
    <w:rsid w:val="00AB1233"/>
    <w:rsid w:val="00AB15C9"/>
    <w:rsid w:val="00AB35BD"/>
    <w:rsid w:val="00AB3843"/>
    <w:rsid w:val="00AD0793"/>
    <w:rsid w:val="00AD1E29"/>
    <w:rsid w:val="00B4039B"/>
    <w:rsid w:val="00B51DDD"/>
    <w:rsid w:val="00B60F46"/>
    <w:rsid w:val="00B63C5D"/>
    <w:rsid w:val="00B6467A"/>
    <w:rsid w:val="00B8061B"/>
    <w:rsid w:val="00B90E78"/>
    <w:rsid w:val="00B95FB4"/>
    <w:rsid w:val="00BA037F"/>
    <w:rsid w:val="00BD1F5D"/>
    <w:rsid w:val="00BD3AAC"/>
    <w:rsid w:val="00BE43CA"/>
    <w:rsid w:val="00BF7C4C"/>
    <w:rsid w:val="00C013DB"/>
    <w:rsid w:val="00C31D91"/>
    <w:rsid w:val="00C346D3"/>
    <w:rsid w:val="00C35E79"/>
    <w:rsid w:val="00C60BBB"/>
    <w:rsid w:val="00CB3325"/>
    <w:rsid w:val="00CB6FF6"/>
    <w:rsid w:val="00CC0214"/>
    <w:rsid w:val="00CC080C"/>
    <w:rsid w:val="00CC35B5"/>
    <w:rsid w:val="00CE5F22"/>
    <w:rsid w:val="00D0597C"/>
    <w:rsid w:val="00D07063"/>
    <w:rsid w:val="00D127C2"/>
    <w:rsid w:val="00D25F9B"/>
    <w:rsid w:val="00D2600E"/>
    <w:rsid w:val="00D262B8"/>
    <w:rsid w:val="00D35AF9"/>
    <w:rsid w:val="00D423AA"/>
    <w:rsid w:val="00D42FF7"/>
    <w:rsid w:val="00D5288B"/>
    <w:rsid w:val="00D6237D"/>
    <w:rsid w:val="00D66A55"/>
    <w:rsid w:val="00D70B35"/>
    <w:rsid w:val="00D81169"/>
    <w:rsid w:val="00D82E29"/>
    <w:rsid w:val="00DA5EAB"/>
    <w:rsid w:val="00DB69D5"/>
    <w:rsid w:val="00DC472E"/>
    <w:rsid w:val="00DE63DE"/>
    <w:rsid w:val="00DE6E96"/>
    <w:rsid w:val="00E008B6"/>
    <w:rsid w:val="00E12EC0"/>
    <w:rsid w:val="00E21228"/>
    <w:rsid w:val="00E2263A"/>
    <w:rsid w:val="00E4292C"/>
    <w:rsid w:val="00E55B72"/>
    <w:rsid w:val="00E616C5"/>
    <w:rsid w:val="00E668D9"/>
    <w:rsid w:val="00E73163"/>
    <w:rsid w:val="00E73942"/>
    <w:rsid w:val="00E73C47"/>
    <w:rsid w:val="00EA0CCE"/>
    <w:rsid w:val="00EA18CD"/>
    <w:rsid w:val="00EA200C"/>
    <w:rsid w:val="00EA5A57"/>
    <w:rsid w:val="00EA5C87"/>
    <w:rsid w:val="00EC1B33"/>
    <w:rsid w:val="00EF27B5"/>
    <w:rsid w:val="00EF63E8"/>
    <w:rsid w:val="00F17481"/>
    <w:rsid w:val="00F31711"/>
    <w:rsid w:val="00F466B7"/>
    <w:rsid w:val="00F50983"/>
    <w:rsid w:val="00F60D11"/>
    <w:rsid w:val="00F719CB"/>
    <w:rsid w:val="00F96035"/>
    <w:rsid w:val="00FB5930"/>
    <w:rsid w:val="00FC2C75"/>
    <w:rsid w:val="00FD6A80"/>
    <w:rsid w:val="00FF1FA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37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D3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C6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3DB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3D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013DB"/>
    <w:rPr>
      <w:vertAlign w:val="superscript"/>
    </w:rPr>
  </w:style>
  <w:style w:type="character" w:customStyle="1" w:styleId="fontstyle01">
    <w:name w:val="fontstyle01"/>
    <w:basedOn w:val="DefaultParagraphFont"/>
    <w:rsid w:val="00A27580"/>
    <w:rPr>
      <w:rFonts w:ascii="Calibri" w:hAnsi="Calibri" w:cs="Calibri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DefaultParagraphFont"/>
    <w:rsid w:val="00A27580"/>
    <w:rPr>
      <w:rFonts w:ascii="Calibri-Italic" w:hAnsi="Calibri-Italic" w:hint="default"/>
      <w:b w:val="0"/>
      <w:bCs w:val="0"/>
      <w:i/>
      <w:iCs/>
      <w:color w:val="242021"/>
      <w:sz w:val="16"/>
      <w:szCs w:val="16"/>
    </w:rPr>
  </w:style>
  <w:style w:type="table" w:styleId="TableGrid">
    <w:name w:val="Table Grid"/>
    <w:basedOn w:val="TableNormal"/>
    <w:uiPriority w:val="39"/>
    <w:rsid w:val="003334E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F4D"/>
  </w:style>
  <w:style w:type="paragraph" w:styleId="Footer">
    <w:name w:val="footer"/>
    <w:basedOn w:val="Normal"/>
    <w:link w:val="FooterChar"/>
    <w:uiPriority w:val="99"/>
    <w:unhideWhenUsed/>
    <w:rsid w:val="000E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F4D"/>
  </w:style>
  <w:style w:type="paragraph" w:styleId="ListParagraph">
    <w:name w:val="List Paragraph"/>
    <w:basedOn w:val="Normal"/>
    <w:uiPriority w:val="34"/>
    <w:qFormat/>
    <w:rsid w:val="000A0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BCA9-9FF0-4502-BFE0-F4B76EA9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2018-04-13T09:13:00Z</dcterms:created>
  <dcterms:modified xsi:type="dcterms:W3CDTF">2018-06-28T09:10:00Z</dcterms:modified>
</cp:coreProperties>
</file>