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3ADF" w:rsidRPr="00163ADF" w:rsidRDefault="00163ADF" w:rsidP="00163ADF">
      <w:pPr>
        <w:spacing w:after="0" w:line="360" w:lineRule="auto"/>
        <w:jc w:val="center"/>
        <w:rPr>
          <w:rFonts w:ascii="Times New Roman" w:hAnsi="Times New Roman"/>
          <w:b/>
          <w:sz w:val="24"/>
          <w:szCs w:val="24"/>
          <w:lang w:val="en-US"/>
        </w:rPr>
      </w:pPr>
      <w:r w:rsidRPr="00163ADF">
        <w:rPr>
          <w:rFonts w:ascii="Times New Roman" w:hAnsi="Times New Roman"/>
          <w:b/>
          <w:sz w:val="24"/>
          <w:szCs w:val="24"/>
          <w:lang w:val="en-US"/>
        </w:rPr>
        <w:t>Comparison of mixing performances of T, Y and arrow-shaped micromixers using Villermaux-Dushman protocol at low Reynolds number</w:t>
      </w:r>
    </w:p>
    <w:p w:rsidR="00163ADF" w:rsidRPr="00163ADF" w:rsidRDefault="00163ADF" w:rsidP="00163ADF">
      <w:pPr>
        <w:spacing w:after="0" w:line="360" w:lineRule="auto"/>
        <w:jc w:val="center"/>
        <w:rPr>
          <w:rFonts w:ascii="Times New Roman" w:hAnsi="Times New Roman"/>
          <w:sz w:val="24"/>
          <w:szCs w:val="24"/>
          <w:lang w:val="en-US"/>
        </w:rPr>
      </w:pPr>
      <w:r w:rsidRPr="00163ADF">
        <w:rPr>
          <w:rFonts w:ascii="Times New Roman" w:hAnsi="Times New Roman"/>
          <w:sz w:val="24"/>
          <w:szCs w:val="24"/>
          <w:lang w:val="en-US"/>
        </w:rPr>
        <w:t>ONYEKA S. OKWUNDU</w:t>
      </w:r>
      <w:r w:rsidRPr="00163ADF">
        <w:rPr>
          <w:rFonts w:ascii="Times New Roman" w:hAnsi="Times New Roman"/>
          <w:sz w:val="24"/>
          <w:szCs w:val="24"/>
          <w:vertAlign w:val="superscript"/>
          <w:lang w:val="en-US"/>
        </w:rPr>
        <w:t>1, 2,</w:t>
      </w:r>
      <w:r w:rsidR="006A60E6" w:rsidRPr="006A60E6">
        <w:rPr>
          <w:rFonts w:ascii="Times New Roman" w:hAnsi="Times New Roman"/>
          <w:sz w:val="24"/>
          <w:szCs w:val="24"/>
          <w:lang w:val="en-GB"/>
        </w:rPr>
        <w:t xml:space="preserve"> </w:t>
      </w:r>
      <w:r w:rsidR="006A60E6" w:rsidRPr="006A60E6">
        <w:rPr>
          <w:rFonts w:ascii="Times New Roman" w:hAnsi="Times New Roman"/>
          <w:sz w:val="24"/>
          <w:szCs w:val="24"/>
          <w:lang w:val="en-GB"/>
        </w:rPr>
        <w:footnoteReference w:customMarkFollows="1" w:id="1"/>
        <w:t>*,</w:t>
      </w:r>
      <w:r w:rsidRPr="00163ADF">
        <w:rPr>
          <w:rFonts w:ascii="Times New Roman" w:hAnsi="Times New Roman"/>
          <w:sz w:val="24"/>
          <w:szCs w:val="24"/>
          <w:lang w:val="en-US"/>
        </w:rPr>
        <w:t xml:space="preserve"> MOHAMMED FUSEINI</w:t>
      </w:r>
      <w:r w:rsidRPr="00163ADF">
        <w:rPr>
          <w:rFonts w:ascii="Times New Roman" w:hAnsi="Times New Roman"/>
          <w:sz w:val="24"/>
          <w:szCs w:val="24"/>
          <w:vertAlign w:val="superscript"/>
          <w:lang w:val="en-US"/>
        </w:rPr>
        <w:t>1</w:t>
      </w:r>
      <w:r w:rsidR="007E581F">
        <w:rPr>
          <w:rFonts w:ascii="Times New Roman" w:hAnsi="Times New Roman"/>
          <w:sz w:val="24"/>
          <w:szCs w:val="24"/>
          <w:lang w:val="en-US"/>
        </w:rPr>
        <w:t>.</w:t>
      </w:r>
    </w:p>
    <w:p w:rsidR="00163ADF" w:rsidRPr="00163ADF" w:rsidRDefault="00163ADF" w:rsidP="00163ADF">
      <w:pPr>
        <w:spacing w:after="0" w:line="360" w:lineRule="auto"/>
        <w:jc w:val="center"/>
        <w:rPr>
          <w:rFonts w:ascii="Times New Roman" w:hAnsi="Times New Roman"/>
          <w:i/>
          <w:sz w:val="24"/>
          <w:szCs w:val="24"/>
          <w:lang w:val="en-US"/>
        </w:rPr>
      </w:pPr>
      <w:r w:rsidRPr="00163ADF">
        <w:rPr>
          <w:rFonts w:ascii="Times New Roman" w:hAnsi="Times New Roman"/>
          <w:i/>
          <w:sz w:val="24"/>
          <w:szCs w:val="24"/>
          <w:vertAlign w:val="superscript"/>
          <w:lang w:val="en-US"/>
        </w:rPr>
        <w:t>1</w:t>
      </w:r>
      <w:r w:rsidRPr="00163ADF">
        <w:rPr>
          <w:rFonts w:ascii="Times New Roman" w:hAnsi="Times New Roman"/>
          <w:i/>
          <w:sz w:val="24"/>
          <w:szCs w:val="24"/>
          <w:lang w:val="en-US"/>
        </w:rPr>
        <w:t>Department of Chemical and Petrochemical Engineering, Egypt-Japan University of Science and Technology (E-JUST), Egypt.</w:t>
      </w:r>
      <w:r w:rsidR="00414418">
        <w:rPr>
          <w:rFonts w:ascii="Times New Roman" w:hAnsi="Times New Roman"/>
          <w:i/>
          <w:sz w:val="24"/>
          <w:szCs w:val="24"/>
          <w:lang w:val="en-US"/>
        </w:rPr>
        <w:t xml:space="preserve"> </w:t>
      </w:r>
      <w:bookmarkStart w:id="0" w:name="_GoBack"/>
      <w:bookmarkEnd w:id="0"/>
    </w:p>
    <w:p w:rsidR="00163ADF" w:rsidRPr="00163ADF" w:rsidRDefault="00163ADF" w:rsidP="00163ADF">
      <w:pPr>
        <w:spacing w:after="0" w:line="360" w:lineRule="auto"/>
        <w:jc w:val="center"/>
        <w:rPr>
          <w:rFonts w:ascii="Times New Roman" w:hAnsi="Times New Roman"/>
          <w:i/>
          <w:sz w:val="24"/>
          <w:szCs w:val="24"/>
          <w:lang w:val="en-US"/>
        </w:rPr>
      </w:pPr>
      <w:r w:rsidRPr="00163ADF">
        <w:rPr>
          <w:rFonts w:ascii="Times New Roman" w:hAnsi="Times New Roman"/>
          <w:i/>
          <w:sz w:val="24"/>
          <w:szCs w:val="24"/>
          <w:vertAlign w:val="superscript"/>
          <w:lang w:val="en-US"/>
        </w:rPr>
        <w:t>2</w:t>
      </w:r>
      <w:r w:rsidRPr="00163ADF">
        <w:rPr>
          <w:rFonts w:ascii="Times New Roman" w:hAnsi="Times New Roman"/>
          <w:i/>
          <w:sz w:val="24"/>
          <w:szCs w:val="24"/>
          <w:lang w:val="en-US"/>
        </w:rPr>
        <w:t>Department of Chemical Engineering, University of Benin, Nigeria.</w:t>
      </w:r>
    </w:p>
    <w:p w:rsidR="00163ADF" w:rsidRDefault="00163ADF" w:rsidP="00C460C9">
      <w:pPr>
        <w:spacing w:after="0" w:line="360" w:lineRule="auto"/>
        <w:rPr>
          <w:rFonts w:ascii="Times New Roman" w:hAnsi="Times New Roman"/>
          <w:sz w:val="24"/>
          <w:szCs w:val="24"/>
          <w:lang w:val="en-US"/>
        </w:rPr>
      </w:pPr>
      <w:r w:rsidRPr="00163ADF">
        <w:rPr>
          <w:rFonts w:ascii="Times New Roman" w:hAnsi="Times New Roman"/>
          <w:i/>
          <w:sz w:val="24"/>
          <w:szCs w:val="24"/>
          <w:lang w:val="en-US"/>
        </w:rPr>
        <w:t>Abstract:</w:t>
      </w:r>
      <w:r w:rsidRPr="00163ADF">
        <w:rPr>
          <w:rFonts w:ascii="Times New Roman" w:hAnsi="Times New Roman"/>
          <w:b/>
          <w:sz w:val="24"/>
          <w:szCs w:val="24"/>
          <w:lang w:val="en-US"/>
        </w:rPr>
        <w:t xml:space="preserve"> </w:t>
      </w:r>
      <w:r w:rsidRPr="00163ADF">
        <w:rPr>
          <w:rFonts w:ascii="Times New Roman" w:hAnsi="Times New Roman"/>
          <w:sz w:val="24"/>
          <w:szCs w:val="24"/>
          <w:lang w:val="en-US"/>
        </w:rPr>
        <w:t>Mixing performance is commonly assessed using the Villermaux-Dushman protocol. Mixing in passive mixers may be desired at very low Reynolds number (Re). This study is aimed at comparing the mixing performances of T, Y and arrow-shaped micromixers using Villermaux-Dushman protocol at Re &lt; 100. Mixing performance test was run at flow rates of 500 to 1 mL/hr with pressure drop measurement. Based on UV absorbance values and experimental mixing times of mixed fluids from the three micromixers, the order of mixing performance at Re &gt; 26.5 was Y &lt; T &lt; arrow-shaped micromixers. At lower Re values, the order of performance based on absorbance and experimental mixing times, became inconsistent. However, comparison of mixing performance based on predicted mixing time gave consistent order of performance at all Re values. Instability in UV absorbance of mixed reagents in Villermaux-Dushman protocol was noted as the major cause of the reported i</w:t>
      </w:r>
      <w:r w:rsidR="00026B17">
        <w:rPr>
          <w:rFonts w:ascii="Times New Roman" w:hAnsi="Times New Roman"/>
          <w:sz w:val="24"/>
          <w:szCs w:val="24"/>
          <w:lang w:val="en-US"/>
        </w:rPr>
        <w:t>nconsistency at very low Re. Inadequacy of</w:t>
      </w:r>
      <w:r w:rsidRPr="00163ADF">
        <w:rPr>
          <w:rFonts w:ascii="Times New Roman" w:hAnsi="Times New Roman"/>
          <w:sz w:val="24"/>
          <w:szCs w:val="24"/>
          <w:lang w:val="en-US"/>
        </w:rPr>
        <w:t xml:space="preserve"> </w:t>
      </w:r>
      <w:r w:rsidR="00026B17">
        <w:rPr>
          <w:rFonts w:ascii="Times New Roman" w:hAnsi="Times New Roman"/>
          <w:sz w:val="24"/>
          <w:szCs w:val="24"/>
          <w:lang w:val="en-US"/>
        </w:rPr>
        <w:t>Villermaux-Dushman protocol at low Re was verified</w:t>
      </w:r>
      <w:r w:rsidRPr="00163ADF">
        <w:rPr>
          <w:rFonts w:ascii="Times New Roman" w:hAnsi="Times New Roman"/>
          <w:sz w:val="24"/>
          <w:szCs w:val="24"/>
          <w:lang w:val="en-US"/>
        </w:rPr>
        <w:t xml:space="preserve"> </w:t>
      </w:r>
      <w:r w:rsidR="00026B17">
        <w:rPr>
          <w:rFonts w:ascii="Times New Roman" w:hAnsi="Times New Roman"/>
          <w:sz w:val="24"/>
          <w:szCs w:val="24"/>
          <w:lang w:val="en-US"/>
        </w:rPr>
        <w:t>via facile solvent extraction test.</w:t>
      </w:r>
      <w:r w:rsidRPr="00163ADF">
        <w:rPr>
          <w:rFonts w:ascii="Times New Roman" w:hAnsi="Times New Roman"/>
          <w:sz w:val="24"/>
          <w:szCs w:val="24"/>
          <w:lang w:val="en-US"/>
        </w:rPr>
        <w:t xml:space="preserve"> A more reliable technique should be used to assess mixing performance of micromixers at very low Re and on-line UV measurement should be adopted for Villermaux-Dushman experiment.</w:t>
      </w:r>
    </w:p>
    <w:p w:rsidR="00163ADF" w:rsidRPr="00163ADF" w:rsidRDefault="00163ADF" w:rsidP="00163ADF">
      <w:pPr>
        <w:spacing w:line="360" w:lineRule="auto"/>
        <w:rPr>
          <w:rFonts w:ascii="Times New Roman" w:hAnsi="Times New Roman"/>
          <w:sz w:val="24"/>
          <w:szCs w:val="24"/>
          <w:lang w:val="en-US"/>
        </w:rPr>
      </w:pPr>
    </w:p>
    <w:p w:rsidR="00501847" w:rsidRPr="00163ADF" w:rsidRDefault="00163ADF" w:rsidP="00C460C9">
      <w:pPr>
        <w:spacing w:after="0" w:line="360" w:lineRule="auto"/>
        <w:rPr>
          <w:rFonts w:ascii="Times New Roman" w:hAnsi="Times New Roman"/>
          <w:i/>
          <w:sz w:val="24"/>
          <w:szCs w:val="24"/>
          <w:lang w:val="en-US"/>
        </w:rPr>
      </w:pPr>
      <w:r w:rsidRPr="00163ADF">
        <w:rPr>
          <w:rFonts w:ascii="Times New Roman" w:hAnsi="Times New Roman"/>
          <w:i/>
          <w:sz w:val="24"/>
          <w:szCs w:val="24"/>
          <w:lang w:val="en-US"/>
        </w:rPr>
        <w:t>Keywords</w:t>
      </w:r>
      <w:r>
        <w:rPr>
          <w:rFonts w:ascii="Times New Roman" w:hAnsi="Times New Roman"/>
          <w:i/>
          <w:sz w:val="24"/>
          <w:szCs w:val="24"/>
          <w:lang w:val="en-US"/>
        </w:rPr>
        <w:t xml:space="preserve">: </w:t>
      </w:r>
      <w:r w:rsidR="00D210EF">
        <w:rPr>
          <w:rFonts w:ascii="Times New Roman" w:hAnsi="Times New Roman"/>
          <w:sz w:val="24"/>
          <w:szCs w:val="24"/>
          <w:lang w:val="en-US"/>
        </w:rPr>
        <w:t>Mixing efficiency</w:t>
      </w:r>
      <w:r w:rsidRPr="00163ADF">
        <w:rPr>
          <w:rFonts w:ascii="Times New Roman" w:hAnsi="Times New Roman"/>
          <w:sz w:val="24"/>
          <w:szCs w:val="24"/>
          <w:lang w:val="en-US"/>
        </w:rPr>
        <w:t>; Villermaux-Dushman test experiment; micromixer; low Reynolds number</w:t>
      </w:r>
      <w:r w:rsidR="00D210EF">
        <w:rPr>
          <w:rFonts w:ascii="Times New Roman" w:hAnsi="Times New Roman"/>
          <w:sz w:val="24"/>
          <w:szCs w:val="24"/>
          <w:lang w:val="en-US"/>
        </w:rPr>
        <w:t>;</w:t>
      </w:r>
      <w:r w:rsidRPr="00163ADF">
        <w:rPr>
          <w:rFonts w:ascii="Times New Roman" w:hAnsi="Times New Roman"/>
          <w:sz w:val="24"/>
          <w:szCs w:val="24"/>
          <w:lang w:val="en-US"/>
        </w:rPr>
        <w:t xml:space="preserve"> confluence shape.</w:t>
      </w:r>
    </w:p>
    <w:p w:rsidR="00577422" w:rsidRPr="00BB71E6" w:rsidRDefault="00577422" w:rsidP="00501847">
      <w:pPr>
        <w:spacing w:after="0" w:line="360" w:lineRule="auto"/>
        <w:rPr>
          <w:rFonts w:ascii="Times New Roman" w:hAnsi="Times New Roman"/>
          <w:sz w:val="24"/>
          <w:szCs w:val="24"/>
          <w:lang w:val="en-GB"/>
        </w:rPr>
      </w:pPr>
    </w:p>
    <w:p w:rsidR="00577422" w:rsidRPr="00BB71E6" w:rsidRDefault="00577422" w:rsidP="00501847">
      <w:pPr>
        <w:spacing w:after="0" w:line="360" w:lineRule="auto"/>
        <w:rPr>
          <w:rFonts w:ascii="Times New Roman" w:hAnsi="Times New Roman"/>
          <w:sz w:val="24"/>
          <w:szCs w:val="24"/>
          <w:lang w:val="en-GB"/>
        </w:rPr>
      </w:pPr>
      <w:r w:rsidRPr="00BB71E6">
        <w:rPr>
          <w:rFonts w:ascii="Times New Roman" w:hAnsi="Times New Roman"/>
          <w:sz w:val="24"/>
          <w:szCs w:val="24"/>
          <w:lang w:val="en-GB"/>
        </w:rPr>
        <w:t xml:space="preserve">RUNNING TITLE: </w:t>
      </w:r>
      <w:r w:rsidR="00373B8E">
        <w:rPr>
          <w:rFonts w:ascii="Times New Roman" w:hAnsi="Times New Roman"/>
          <w:sz w:val="24"/>
          <w:szCs w:val="24"/>
          <w:lang w:val="en-GB"/>
        </w:rPr>
        <w:t xml:space="preserve">LOW REYNOLDS NUMBER </w:t>
      </w:r>
      <w:r w:rsidR="00373B8E" w:rsidRPr="00163ADF">
        <w:rPr>
          <w:rFonts w:ascii="Times New Roman" w:hAnsi="Times New Roman"/>
          <w:sz w:val="24"/>
          <w:szCs w:val="24"/>
          <w:lang w:val="en-US"/>
        </w:rPr>
        <w:t>VILLERMAUX-DUSHMAN</w:t>
      </w:r>
      <w:r w:rsidR="00373B8E">
        <w:rPr>
          <w:rFonts w:ascii="Times New Roman" w:hAnsi="Times New Roman"/>
          <w:sz w:val="24"/>
          <w:szCs w:val="24"/>
          <w:lang w:val="en-US"/>
        </w:rPr>
        <w:t xml:space="preserve"> TEST</w:t>
      </w:r>
    </w:p>
    <w:p w:rsidR="00577422" w:rsidRPr="00BB71E6" w:rsidRDefault="00577422" w:rsidP="00501847">
      <w:pPr>
        <w:spacing w:after="0" w:line="360" w:lineRule="auto"/>
        <w:rPr>
          <w:rFonts w:ascii="Times New Roman" w:hAnsi="Times New Roman"/>
          <w:sz w:val="24"/>
          <w:szCs w:val="24"/>
          <w:lang w:val="en-GB"/>
        </w:rPr>
      </w:pPr>
    </w:p>
    <w:p w:rsidR="00501847" w:rsidRPr="00BB71E6" w:rsidRDefault="00501847" w:rsidP="00577422">
      <w:pPr>
        <w:spacing w:after="0" w:line="360" w:lineRule="auto"/>
        <w:jc w:val="center"/>
        <w:rPr>
          <w:rFonts w:ascii="Times New Roman" w:hAnsi="Times New Roman"/>
          <w:sz w:val="24"/>
          <w:szCs w:val="24"/>
          <w:lang w:val="en-GB"/>
        </w:rPr>
      </w:pPr>
      <w:r w:rsidRPr="00BB71E6">
        <w:rPr>
          <w:rFonts w:ascii="Times New Roman" w:hAnsi="Times New Roman"/>
          <w:sz w:val="24"/>
          <w:szCs w:val="24"/>
          <w:lang w:val="en-GB"/>
        </w:rPr>
        <w:t>INTRODUCTION</w:t>
      </w:r>
    </w:p>
    <w:p w:rsidR="00373B8E" w:rsidRPr="00373B8E" w:rsidRDefault="00373B8E" w:rsidP="00951C1B">
      <w:pPr>
        <w:spacing w:after="0" w:line="360" w:lineRule="auto"/>
        <w:rPr>
          <w:rFonts w:ascii="Times New Roman" w:hAnsi="Times New Roman"/>
          <w:sz w:val="24"/>
          <w:szCs w:val="24"/>
          <w:lang w:val="en-US"/>
        </w:rPr>
      </w:pPr>
      <w:r w:rsidRPr="00373B8E">
        <w:rPr>
          <w:rFonts w:ascii="Times New Roman" w:hAnsi="Times New Roman"/>
          <w:sz w:val="24"/>
          <w:szCs w:val="24"/>
          <w:lang w:val="en-US"/>
        </w:rPr>
        <w:t xml:space="preserve">Most chemical processes require contacting of different substances to achieve homogeneity, emulsification, dispersion or even chemical reaction as in the case of combination reactions where different molecular species have to contact before conversion. One of the most </w:t>
      </w:r>
      <w:r w:rsidRPr="00373B8E">
        <w:rPr>
          <w:rFonts w:ascii="Times New Roman" w:hAnsi="Times New Roman"/>
          <w:sz w:val="24"/>
          <w:szCs w:val="24"/>
          <w:lang w:val="en-US"/>
        </w:rPr>
        <w:lastRenderedPageBreak/>
        <w:t>important methods of enhancing mixing at micro level is by using micro scale devices</w:t>
      </w:r>
      <w:r w:rsidR="005B153C">
        <w:rPr>
          <w:rFonts w:ascii="Times New Roman" w:hAnsi="Times New Roman"/>
          <w:sz w:val="24"/>
          <w:szCs w:val="24"/>
          <w:lang w:val="en-US"/>
        </w:rPr>
        <w:t>.</w:t>
      </w:r>
      <w:r w:rsidRPr="00373B8E">
        <w:rPr>
          <w:rFonts w:ascii="Times New Roman" w:hAnsi="Times New Roman"/>
          <w:sz w:val="24"/>
          <w:szCs w:val="24"/>
          <w:lang w:val="en-US"/>
        </w:rPr>
        <w:fldChar w:fldCharType="begin" w:fldLock="1"/>
      </w:r>
      <w:r w:rsidR="001312F9">
        <w:rPr>
          <w:rFonts w:ascii="Times New Roman" w:hAnsi="Times New Roman"/>
          <w:sz w:val="24"/>
          <w:szCs w:val="24"/>
          <w:lang w:val="en-US"/>
        </w:rPr>
        <w:instrText>ADDIN CSL_CITATION {"citationItems":[{"id":"ITEM-1","itemData":{"DOI":"10.1016/j.ces.2009.12.001","ISSN":"6","author":[{"dropping-particle":"","family":"Aubin","given":"Joëlle","non-dropping-particle":"","parse-names":false,"suffix":""},{"dropping-particle":"","family":"Ferrando","given":"Montse","non-dropping-particle":"","parse-names":false,"suffix":""},{"dropping-particle":"","family":"Jiricny","given":"Vladimir","non-dropping-particle":"","parse-names":false,"suffix":""}],"container-title":"Chemical Engineering Science","id":"ITEM-1","issue":"6","issued":{"date-parts":[["2010"]]},"page":"2065-2093","title":"Current methods for characterising mixing and flow in microchannels","type":"article-journal","volume":"65"},"uris":["http://www.mendeley.com/documents/?uuid=33e3685e-8331-4791-bf4e-995dea2b1a9f"]}],"mendeley":{"formattedCitation":"&lt;sup&gt;1&lt;/sup&gt;","plainTextFormattedCitation":"1","previouslyFormattedCitation":"&lt;sup&gt;1&lt;/sup&gt;"},"properties":{"noteIndex":0},"schema":"https://github.com/citation-style-language/schema/raw/master/csl-citation.json"}</w:instrText>
      </w:r>
      <w:r w:rsidRPr="00373B8E">
        <w:rPr>
          <w:rFonts w:ascii="Times New Roman" w:hAnsi="Times New Roman"/>
          <w:sz w:val="24"/>
          <w:szCs w:val="24"/>
          <w:lang w:val="en-US"/>
        </w:rPr>
        <w:fldChar w:fldCharType="separate"/>
      </w:r>
      <w:r w:rsidR="005B153C" w:rsidRPr="005B153C">
        <w:rPr>
          <w:rFonts w:ascii="Times New Roman" w:hAnsi="Times New Roman"/>
          <w:noProof/>
          <w:sz w:val="24"/>
          <w:szCs w:val="24"/>
          <w:vertAlign w:val="superscript"/>
          <w:lang w:val="en-US"/>
        </w:rPr>
        <w:t>1</w:t>
      </w:r>
      <w:r w:rsidRPr="00373B8E">
        <w:rPr>
          <w:rFonts w:ascii="Times New Roman" w:hAnsi="Times New Roman"/>
          <w:sz w:val="24"/>
          <w:szCs w:val="24"/>
          <w:lang w:val="en-US"/>
        </w:rPr>
        <w:fldChar w:fldCharType="end"/>
      </w:r>
      <w:r w:rsidRPr="00373B8E">
        <w:rPr>
          <w:rFonts w:ascii="Times New Roman" w:hAnsi="Times New Roman"/>
          <w:sz w:val="24"/>
          <w:szCs w:val="24"/>
          <w:lang w:val="en-US"/>
        </w:rPr>
        <w:t xml:space="preserve"> Dating back to the early nineties, micro scale devices such as micromixers (or microreactors; when chemical reaction is involved) have attracted great attention in laboratory as well as industrial or commercial scale</w:t>
      </w:r>
      <w:r w:rsidR="005B153C">
        <w:rPr>
          <w:rFonts w:ascii="Times New Roman" w:hAnsi="Times New Roman"/>
          <w:sz w:val="24"/>
          <w:szCs w:val="24"/>
          <w:lang w:val="en-US"/>
        </w:rPr>
        <w:t>.</w:t>
      </w:r>
      <w:r w:rsidRPr="00373B8E">
        <w:rPr>
          <w:rFonts w:ascii="Times New Roman" w:hAnsi="Times New Roman"/>
          <w:sz w:val="24"/>
          <w:szCs w:val="24"/>
          <w:lang w:val="en-US"/>
        </w:rPr>
        <w:fldChar w:fldCharType="begin" w:fldLock="1"/>
      </w:r>
      <w:r w:rsidR="001312F9">
        <w:rPr>
          <w:rFonts w:ascii="Times New Roman" w:hAnsi="Times New Roman"/>
          <w:sz w:val="24"/>
          <w:szCs w:val="24"/>
          <w:lang w:val="en-US"/>
        </w:rPr>
        <w:instrText>ADDIN CSL_CITATION {"citationItems":[{"id":"ITEM-1","itemData":{"DOI":"10.1021/ie980128d","ISSN":"3","author":[{"dropping-particle":"","family":"Ehrfeld","given":"Wolfgang","non-dropping-particle":"","parse-names":false,"suffix":""},{"dropping-particle":"","family":"Golbig","given":"Klaus","non-dropping-particle":"","parse-names":false,"suffix":""},{"dropping-particle":"","family":"Hessel","given":"Volker","non-dropping-particle":"","parse-names":false,"suffix":""},{"dropping-particle":"","family":"Löwe","given":"Holger","non-dropping-particle":"","parse-names":false,"suffix":""},{"dropping-particle":"","family":"Richter","given":"Thomas","non-dropping-particle":"","parse-names":false,"suffix":""}],"container-title":"Industrial &amp; Engineering Chemistry Research","id":"ITEM-1","issue":"3","issued":{"date-parts":[["1999"]]},"page":"1075-1082","title":"Characterization of Mixing in Micromixers by a Test Reaction: Single Mixing Units and Mixer Arrays","type":"article-journal","volume":"38"},"uris":["http://www.mendeley.com/documents/?uuid=15ab2cbc-0d7c-4223-8d63-76110530bfc3"]},{"id":"ITEM-2","itemData":{"DOI":"10.1016/j.cep.2011.06.006","ISSN":"10","author":[{"dropping-particle":"","family":"Commenge","given":"Jean Marc","non-dropping-particle":"","parse-names":false,"suffix":""},{"dropping-particle":"","family":"Falk","given":"Laurent","non-dropping-particle":"","parse-names":false,"suffix":""}],"container-title":"Chemical Engineering and Processing: Process Intensification","id":"ITEM-2","issue":"10","issued":{"date-parts":[["2011"]]},"page":"979-990","title":"Villermaux–Dushman protocol for experimental characterization of micromixers","type":"article-journal","volume":"50"},"uris":["http://www.mendeley.com/documents/?uuid=e29ec2c0-86b3-4a1c-8a25-efb133b84b50"]}],"mendeley":{"formattedCitation":"&lt;sup&gt;2,3&lt;/sup&gt;","plainTextFormattedCitation":"2,3","previouslyFormattedCitation":"&lt;sup&gt;2,3&lt;/sup&gt;"},"properties":{"noteIndex":0},"schema":"https://github.com/citation-style-language/schema/raw/master/csl-citation.json"}</w:instrText>
      </w:r>
      <w:r w:rsidRPr="00373B8E">
        <w:rPr>
          <w:rFonts w:ascii="Times New Roman" w:hAnsi="Times New Roman"/>
          <w:sz w:val="24"/>
          <w:szCs w:val="24"/>
          <w:lang w:val="en-US"/>
        </w:rPr>
        <w:fldChar w:fldCharType="separate"/>
      </w:r>
      <w:r w:rsidR="005B153C" w:rsidRPr="005B153C">
        <w:rPr>
          <w:rFonts w:ascii="Times New Roman" w:hAnsi="Times New Roman"/>
          <w:noProof/>
          <w:sz w:val="24"/>
          <w:szCs w:val="24"/>
          <w:vertAlign w:val="superscript"/>
          <w:lang w:val="en-US"/>
        </w:rPr>
        <w:t>2,3</w:t>
      </w:r>
      <w:r w:rsidRPr="00373B8E">
        <w:rPr>
          <w:rFonts w:ascii="Times New Roman" w:hAnsi="Times New Roman"/>
          <w:sz w:val="24"/>
          <w:szCs w:val="24"/>
          <w:lang w:val="en-US"/>
        </w:rPr>
        <w:fldChar w:fldCharType="end"/>
      </w:r>
      <w:r w:rsidRPr="00373B8E">
        <w:rPr>
          <w:rFonts w:ascii="Times New Roman" w:hAnsi="Times New Roman"/>
          <w:sz w:val="24"/>
          <w:szCs w:val="24"/>
          <w:lang w:val="en-US"/>
        </w:rPr>
        <w:t xml:space="preserve"> The values of Reynolds number (Re =</w:t>
      </w:r>
      <w:r w:rsidR="00B82394">
        <w:rPr>
          <w:rFonts w:ascii="Times New Roman" w:hAnsi="Times New Roman"/>
          <w:sz w:val="24"/>
          <w:szCs w:val="24"/>
          <w:lang w:val="en-US"/>
        </w:rPr>
        <w:t xml:space="preserve"> </w:t>
      </w:r>
      <w:r w:rsidR="00B82394" w:rsidRPr="00B82394">
        <w:rPr>
          <w:rFonts w:ascii="Times New Roman" w:hAnsi="Times New Roman"/>
          <w:sz w:val="24"/>
          <w:szCs w:val="24"/>
          <w:lang w:val="en-US"/>
        </w:rPr>
        <w:t>ρud</w:t>
      </w:r>
      <w:r w:rsidR="00B82394">
        <w:rPr>
          <w:rFonts w:ascii="Times New Roman" w:hAnsi="Times New Roman"/>
          <w:sz w:val="24"/>
          <w:szCs w:val="24"/>
          <w:lang w:val="en-US"/>
        </w:rPr>
        <w:t>/</w:t>
      </w:r>
      <w:r w:rsidR="00B82394" w:rsidRPr="00B82394">
        <w:rPr>
          <w:rFonts w:ascii="Times New Roman" w:hAnsi="Times New Roman"/>
          <w:sz w:val="24"/>
          <w:szCs w:val="24"/>
          <w:lang w:val="en-US"/>
        </w:rPr>
        <w:t>μ</w:t>
      </w:r>
      <w:r w:rsidRPr="00373B8E">
        <w:rPr>
          <w:rFonts w:ascii="Times New Roman" w:eastAsia="Times New Roman" w:hAnsi="Times New Roman"/>
          <w:sz w:val="24"/>
          <w:szCs w:val="24"/>
          <w:lang w:val="en-US"/>
        </w:rPr>
        <w:t xml:space="preserve">; where: </w:t>
      </w:r>
      <m:oMath>
        <m:r>
          <m:rPr>
            <m:sty m:val="p"/>
          </m:rPr>
          <w:rPr>
            <w:rFonts w:ascii="Cambria Math" w:hAnsi="Cambria Math"/>
            <w:sz w:val="24"/>
            <w:szCs w:val="24"/>
            <w:lang w:val="en-US"/>
          </w:rPr>
          <m:t>ρ</m:t>
        </m:r>
      </m:oMath>
      <w:r w:rsidRPr="00373B8E">
        <w:rPr>
          <w:rFonts w:ascii="Times New Roman" w:eastAsia="Times New Roman" w:hAnsi="Times New Roman"/>
          <w:sz w:val="24"/>
          <w:szCs w:val="24"/>
          <w:lang w:val="en-US"/>
        </w:rPr>
        <w:t xml:space="preserve"> is the density, u is the flow velocity, d is the characteristic diameter of the micro channel cross section, </w:t>
      </w:r>
      <m:oMath>
        <m:r>
          <m:rPr>
            <m:sty m:val="p"/>
          </m:rPr>
          <w:rPr>
            <w:rFonts w:ascii="Cambria Math" w:hAnsi="Cambria Math"/>
            <w:sz w:val="24"/>
            <w:szCs w:val="24"/>
            <w:lang w:val="en-US"/>
          </w:rPr>
          <m:t>μ</m:t>
        </m:r>
      </m:oMath>
      <w:r w:rsidRPr="00373B8E">
        <w:rPr>
          <w:rFonts w:ascii="Times New Roman" w:eastAsia="Times New Roman" w:hAnsi="Times New Roman"/>
          <w:sz w:val="24"/>
          <w:szCs w:val="24"/>
          <w:lang w:val="en-US"/>
        </w:rPr>
        <w:t xml:space="preserve"> is the dynamic viscosity of fluid; assuming that flow regime laws apply in micro-channels</w:t>
      </w:r>
      <w:r w:rsidRPr="00373B8E">
        <w:rPr>
          <w:rFonts w:ascii="Times New Roman" w:hAnsi="Times New Roman"/>
          <w:sz w:val="24"/>
          <w:szCs w:val="24"/>
          <w:lang w:val="en-US"/>
        </w:rPr>
        <w:t>) are usually very low in micro-structured devices due to their small characteristic dimension; internal cross sectional diameter in the order of 10</w:t>
      </w:r>
      <w:r w:rsidRPr="00373B8E">
        <w:rPr>
          <w:rFonts w:ascii="Times New Roman" w:hAnsi="Times New Roman"/>
          <w:sz w:val="24"/>
          <w:szCs w:val="24"/>
          <w:vertAlign w:val="superscript"/>
          <w:lang w:val="en-US"/>
        </w:rPr>
        <w:t>2</w:t>
      </w:r>
      <w:r w:rsidRPr="00373B8E">
        <w:rPr>
          <w:rFonts w:ascii="Times New Roman" w:hAnsi="Times New Roman"/>
          <w:sz w:val="24"/>
          <w:szCs w:val="24"/>
          <w:lang w:val="en-US"/>
        </w:rPr>
        <w:t xml:space="preserve"> </w:t>
      </w:r>
      <w:r w:rsidR="005B153C" w:rsidRPr="005B153C">
        <w:rPr>
          <w:rFonts w:ascii="Times New Roman" w:hAnsi="Times New Roman"/>
          <w:sz w:val="24"/>
          <w:szCs w:val="24"/>
          <w:lang w:val="en-US"/>
        </w:rPr>
        <w:t>μm</w:t>
      </w:r>
      <w:r w:rsidR="005B153C">
        <w:rPr>
          <w:rFonts w:ascii="Times New Roman" w:hAnsi="Times New Roman"/>
          <w:sz w:val="24"/>
          <w:szCs w:val="24"/>
          <w:lang w:val="en-US"/>
        </w:rPr>
        <w:t>.</w:t>
      </w:r>
      <w:r w:rsidRPr="00373B8E">
        <w:rPr>
          <w:rFonts w:ascii="Times New Roman" w:eastAsia="Times New Roman" w:hAnsi="Times New Roman"/>
          <w:sz w:val="24"/>
          <w:szCs w:val="24"/>
          <w:lang w:val="en-US"/>
        </w:rPr>
        <w:fldChar w:fldCharType="begin" w:fldLock="1"/>
      </w:r>
      <w:r w:rsidR="001312F9">
        <w:rPr>
          <w:rFonts w:ascii="Times New Roman" w:eastAsia="Times New Roman" w:hAnsi="Times New Roman"/>
          <w:sz w:val="24"/>
          <w:szCs w:val="24"/>
          <w:lang w:val="en-US"/>
        </w:rPr>
        <w:instrText>ADDIN CSL_CITATION {"citationItems":[{"id":"ITEM-1","itemData":{"DOI":"10.1039/b510841a","author":[{"dropping-particle":"","family":"Garstecki","given":"Piotr","non-dropping-particle":"","parse-names":false,"suffix":""},{"dropping-particle":"","family":"Fuerstman","given":"Michael J","non-dropping-particle":"","parse-names":false,"suffix":""},{"dropping-particle":"","family":"Stone","given":"Howard A","non-dropping-particle":"","parse-names":false,"suffix":""},{"dropping-particle":"","family":"Whitesides","given":"George M","non-dropping-particle":"","parse-names":false,"suffix":""}],"container-title":"Lab on a Chip","id":"ITEM-1","issue":"3","issued":{"date-parts":[["2006"]]},"page":"437-446","title":"Formation of droplets and bubbles in a microfluidic T-junction—scaling and mechanism of break-up","type":"article-journal","volume":"6"},"uris":["http://www.mendeley.com/documents/?uuid=d52ffd76-edeb-4e81-8b04-a7ca37d20d3c"]}],"mendeley":{"formattedCitation":"&lt;sup&gt;4&lt;/sup&gt;","plainTextFormattedCitation":"4","previouslyFormattedCitation":"&lt;sup&gt;4&lt;/sup&gt;"},"properties":{"noteIndex":0},"schema":"https://github.com/citation-style-language/schema/raw/master/csl-citation.json"}</w:instrText>
      </w:r>
      <w:r w:rsidRPr="00373B8E">
        <w:rPr>
          <w:rFonts w:ascii="Times New Roman" w:eastAsia="Times New Roman" w:hAnsi="Times New Roman"/>
          <w:sz w:val="24"/>
          <w:szCs w:val="24"/>
          <w:lang w:val="en-US"/>
        </w:rPr>
        <w:fldChar w:fldCharType="separate"/>
      </w:r>
      <w:r w:rsidR="005B153C" w:rsidRPr="005B153C">
        <w:rPr>
          <w:rFonts w:ascii="Times New Roman" w:eastAsia="Times New Roman" w:hAnsi="Times New Roman"/>
          <w:noProof/>
          <w:sz w:val="24"/>
          <w:szCs w:val="24"/>
          <w:vertAlign w:val="superscript"/>
          <w:lang w:val="en-US"/>
        </w:rPr>
        <w:t>4</w:t>
      </w:r>
      <w:r w:rsidRPr="00373B8E">
        <w:rPr>
          <w:rFonts w:ascii="Times New Roman" w:eastAsia="Times New Roman" w:hAnsi="Times New Roman"/>
          <w:sz w:val="24"/>
          <w:szCs w:val="24"/>
          <w:lang w:val="en-US"/>
        </w:rPr>
        <w:fldChar w:fldCharType="end"/>
      </w:r>
      <w:r w:rsidRPr="00373B8E">
        <w:rPr>
          <w:rFonts w:ascii="Times New Roman" w:hAnsi="Times New Roman"/>
          <w:sz w:val="24"/>
          <w:szCs w:val="24"/>
          <w:lang w:val="en-US"/>
        </w:rPr>
        <w:t xml:space="preserve"> Therefore, flows in micro channels fall within the laminar regime.</w:t>
      </w:r>
    </w:p>
    <w:p w:rsidR="00373B8E" w:rsidRPr="00373B8E" w:rsidRDefault="00373B8E" w:rsidP="00951C1B">
      <w:pPr>
        <w:spacing w:after="0" w:line="360" w:lineRule="auto"/>
        <w:rPr>
          <w:rFonts w:ascii="Times New Roman" w:hAnsi="Times New Roman"/>
          <w:sz w:val="24"/>
          <w:szCs w:val="24"/>
          <w:lang w:val="en-US"/>
        </w:rPr>
      </w:pPr>
      <w:r w:rsidRPr="00373B8E">
        <w:rPr>
          <w:rFonts w:ascii="Times New Roman" w:hAnsi="Times New Roman"/>
          <w:sz w:val="24"/>
          <w:szCs w:val="24"/>
          <w:lang w:val="en-US"/>
        </w:rPr>
        <w:t>But, if flow in micro-channels is in the laminar regime, how then is fluid mixing possible? Based on the way mixing is achieved, there are two classes of micromixers: active and passive micromixers</w:t>
      </w:r>
      <w:r w:rsidR="005B153C">
        <w:rPr>
          <w:rFonts w:ascii="Times New Roman" w:hAnsi="Times New Roman"/>
          <w:sz w:val="24"/>
          <w:szCs w:val="24"/>
          <w:lang w:val="en-US"/>
        </w:rPr>
        <w:t>.</w:t>
      </w:r>
      <w:r w:rsidRPr="00373B8E">
        <w:rPr>
          <w:rFonts w:ascii="Times New Roman" w:hAnsi="Times New Roman"/>
          <w:sz w:val="24"/>
          <w:szCs w:val="24"/>
          <w:lang w:val="en-US"/>
        </w:rPr>
        <w:fldChar w:fldCharType="begin" w:fldLock="1"/>
      </w:r>
      <w:r w:rsidR="001312F9">
        <w:rPr>
          <w:rFonts w:ascii="Times New Roman" w:hAnsi="Times New Roman"/>
          <w:sz w:val="24"/>
          <w:szCs w:val="24"/>
          <w:lang w:val="en-US"/>
        </w:rPr>
        <w:instrText>ADDIN CSL_CITATION {"citationItems":[{"id":"ITEM-1","itemData":{"DOI":"10.1007/s00542-016-3118-6","ISSN":"0946-7076","author":[{"dropping-particle":"","family":"Rahimi","given":"Masoud","non-dropping-particle":"","parse-names":false,"suffix":""},{"dropping-particle":"","family":"Azimi","given":"Neda","non-dropping-particle":"","parse-names":false,"suffix":""},{"dropping-particle":"","family":"Parsamogadam","given":"Mohammad Amin","non-dropping-particle":"","parse-names":false,"suffix":""},{"dropping-particle":"","family":"Rahimi","given":"Alireza","non-dropping-particle":"","parse-names":false,"suffix":""},{"dropping-particle":"","family":"Masahy","given":"Mohammad Moein","non-dropping-particle":"","parse-names":false,"suffix":""},{"dropping-particle":"","family":"Rahimi","given":"Masoud","non-dropping-particle":"","parse-names":false,"suffix":""},{"dropping-particle":"","family":"Azimi","given":"Neda","non-dropping-particle":"","parse-names":false,"suffix":""},{"dropping-particle":"","family":"Parsamogadam","given":"Mohammad Amin","non-dropping-particle":"","parse-names":false,"suffix":""}],"container-title":"Microsystem Technologies","id":"ITEM-1","issue":"8","issued":{"date-parts":[["2017"]]},"page":"3117–3130","title":"Mixing performance of T, Y, and oriented Y ‑ micromixers with spatially arranged outlet channel: evaluation with Villermaux/Dushman test reaction","type":"article-journal","volume":"23"},"uris":["http://www.mendeley.com/documents/?uuid=916ceb83-ef8d-40cb-af66-78e1121bf6ae"]},{"id":"ITEM-2","itemData":{"DOI":"10.1016/j.ces.2009.05.045","ISSN":"1","author":[{"dropping-particle":"","family":"Falk","given":"L","non-dropping-particle":"","parse-names":false,"suffix":""},{"dropping-particle":"","family":"Commenge","given":"J M","non-dropping-particle":"","parse-names":false,"suffix":""}],"container-title":"Chemical Engineering Science","id":"ITEM-2","issue":"1","issued":{"date-parts":[["2010"]]},"page":"405-411","title":"Performance comparison of micromixers","type":"article-journal","volume":"65"},"uris":["http://www.mendeley.com/documents/?uuid=fe043e11-1920-4b33-bbf6-b7ed148a326f"]}],"mendeley":{"formattedCitation":"&lt;sup&gt;5,6&lt;/sup&gt;","plainTextFormattedCitation":"5,6","previouslyFormattedCitation":"&lt;sup&gt;5,6&lt;/sup&gt;"},"properties":{"noteIndex":0},"schema":"https://github.com/citation-style-language/schema/raw/master/csl-citation.json"}</w:instrText>
      </w:r>
      <w:r w:rsidRPr="00373B8E">
        <w:rPr>
          <w:rFonts w:ascii="Times New Roman" w:hAnsi="Times New Roman"/>
          <w:sz w:val="24"/>
          <w:szCs w:val="24"/>
          <w:lang w:val="en-US"/>
        </w:rPr>
        <w:fldChar w:fldCharType="separate"/>
      </w:r>
      <w:r w:rsidR="005B153C" w:rsidRPr="005B153C">
        <w:rPr>
          <w:rFonts w:ascii="Times New Roman" w:hAnsi="Times New Roman"/>
          <w:noProof/>
          <w:sz w:val="24"/>
          <w:szCs w:val="24"/>
          <w:vertAlign w:val="superscript"/>
          <w:lang w:val="en-US"/>
        </w:rPr>
        <w:t>5,6</w:t>
      </w:r>
      <w:r w:rsidRPr="00373B8E">
        <w:rPr>
          <w:rFonts w:ascii="Times New Roman" w:hAnsi="Times New Roman"/>
          <w:sz w:val="24"/>
          <w:szCs w:val="24"/>
          <w:lang w:val="en-US"/>
        </w:rPr>
        <w:fldChar w:fldCharType="end"/>
      </w:r>
      <w:r w:rsidRPr="00373B8E">
        <w:rPr>
          <w:rFonts w:ascii="Times New Roman" w:hAnsi="Times New Roman"/>
          <w:sz w:val="24"/>
          <w:szCs w:val="24"/>
          <w:lang w:val="en-US"/>
        </w:rPr>
        <w:t xml:space="preserve"> Only the passive micromixer for which fluid-fluid interfacial contacting (mixing) is effected by energy of flowing fluids (no external energy source like mechanical stirring is employed, as in the case of active ones) is implied throughout this study. The reduced cross section of micro-channels leads to increased rate of fluid shearing and based on the micromixer geometry or configuration (point of confluence, obstruction, bend or twist), the fluid in laminar flow gets deformed via convection as it flows past such obstructions, bends, twists or as streams meet at point of confluence and that is the mechanism of mixing in passive micromixers</w:t>
      </w:r>
      <w:r w:rsidR="00AD7A73">
        <w:rPr>
          <w:rFonts w:ascii="Times New Roman" w:hAnsi="Times New Roman"/>
          <w:sz w:val="24"/>
          <w:szCs w:val="24"/>
          <w:lang w:val="en-US"/>
        </w:rPr>
        <w:t>.</w:t>
      </w:r>
      <w:r w:rsidRPr="00373B8E">
        <w:rPr>
          <w:rFonts w:ascii="Times New Roman" w:hAnsi="Times New Roman"/>
          <w:sz w:val="24"/>
          <w:szCs w:val="24"/>
          <w:lang w:val="en-US"/>
        </w:rPr>
        <w:fldChar w:fldCharType="begin" w:fldLock="1"/>
      </w:r>
      <w:r w:rsidR="001312F9">
        <w:rPr>
          <w:rFonts w:ascii="Times New Roman" w:hAnsi="Times New Roman"/>
          <w:sz w:val="24"/>
          <w:szCs w:val="24"/>
          <w:lang w:val="en-US"/>
        </w:rPr>
        <w:instrText>ADDIN CSL_CITATION {"citationItems":[{"id":"ITEM-1","itemData":{"DOI":"10.1016/j.ces.2009.05.045","ISSN":"1","author":[{"dropping-particle":"","family":"Falk","given":"L","non-dropping-particle":"","parse-names":false,"suffix":""},{"dropping-particle":"","family":"Commenge","given":"J M","non-dropping-particle":"","parse-names":false,"suffix":""}],"container-title":"Chemical Engineering Science","id":"ITEM-1","issue":"1","issued":{"date-parts":[["2010"]]},"page":"405-411","title":"Performance comparison of micromixers","type":"article-journal","volume":"65"},"uris":["http://www.mendeley.com/documents/?uuid=fe043e11-1920-4b33-bbf6-b7ed148a326f"]},{"id":"ITEM-2","itemData":{"DOI":"10.1016/j.cep.2014.09.001","author":[{"dropping-particle":"","family":"Rahimi","given":"Masoud","non-dropping-particle":"","parse-names":false,"suffix":""},{"dropping-particle":"","family":"Valeh-e-Sheyda","given":"Peyvand","non-dropping-particle":"","parse-names":false,"suffix":""},{"dropping-particle":"","family":"Parsamoghadam","given":"Mohammad Amin","non-dropping-particle":"","parse-names":false,"suffix":""},{"dropping-particle":"","family":"Azimi","given":"Neda","non-dropping-particle":"","parse-names":false,"suffix":""},{"dropping-particle":"","family":"Adibi","given":"Hadi","non-dropping-particle":"","parse-names":false,"suffix":""}],"container-title":"Chemical Engineering and Processing: Process Intensification","id":"ITEM-2","issued":{"date-parts":[["2014"]]},"page":"178-186","title":"LASP and Villermaux/Dushman protocols for mixing performance in microchannels: Effect of geometry on micromixing characterization and size reduction","type":"article-journal","volume":"85"},"uris":["http://www.mendeley.com/documents/?uuid=54ffec09-7021-4974-8aba-f249ff8cc8ab"]}],"mendeley":{"formattedCitation":"&lt;sup&gt;6,7&lt;/sup&gt;","plainTextFormattedCitation":"6,7","previouslyFormattedCitation":"&lt;sup&gt;6,7&lt;/sup&gt;"},"properties":{"noteIndex":0},"schema":"https://github.com/citation-style-language/schema/raw/master/csl-citation.json"}</w:instrText>
      </w:r>
      <w:r w:rsidRPr="00373B8E">
        <w:rPr>
          <w:rFonts w:ascii="Times New Roman" w:hAnsi="Times New Roman"/>
          <w:sz w:val="24"/>
          <w:szCs w:val="24"/>
          <w:lang w:val="en-US"/>
        </w:rPr>
        <w:fldChar w:fldCharType="separate"/>
      </w:r>
      <w:r w:rsidR="005B153C" w:rsidRPr="005B153C">
        <w:rPr>
          <w:rFonts w:ascii="Times New Roman" w:hAnsi="Times New Roman"/>
          <w:noProof/>
          <w:sz w:val="24"/>
          <w:szCs w:val="24"/>
          <w:vertAlign w:val="superscript"/>
          <w:lang w:val="en-US"/>
        </w:rPr>
        <w:t>6,7</w:t>
      </w:r>
      <w:r w:rsidRPr="00373B8E">
        <w:rPr>
          <w:rFonts w:ascii="Times New Roman" w:hAnsi="Times New Roman"/>
          <w:sz w:val="24"/>
          <w:szCs w:val="24"/>
          <w:lang w:val="en-US"/>
        </w:rPr>
        <w:fldChar w:fldCharType="end"/>
      </w:r>
      <w:r w:rsidRPr="00373B8E">
        <w:rPr>
          <w:rFonts w:ascii="Times New Roman" w:hAnsi="Times New Roman"/>
          <w:sz w:val="24"/>
          <w:szCs w:val="24"/>
          <w:lang w:val="en-US"/>
        </w:rPr>
        <w:t xml:space="preserve"> Primarily, there is diffusive mixing at molecular level and this diffusion is enhanced by the relatively reduced diffusion path or cross section of flow</w:t>
      </w:r>
      <w:r w:rsidR="00F811D5">
        <w:rPr>
          <w:rFonts w:ascii="Times New Roman" w:hAnsi="Times New Roman"/>
          <w:sz w:val="24"/>
          <w:szCs w:val="24"/>
          <w:lang w:val="en-US"/>
        </w:rPr>
        <w:t>.</w:t>
      </w:r>
      <w:r w:rsidRPr="00373B8E">
        <w:rPr>
          <w:rFonts w:ascii="Times New Roman" w:hAnsi="Times New Roman"/>
          <w:sz w:val="24"/>
          <w:szCs w:val="24"/>
          <w:lang w:val="en-US"/>
        </w:rPr>
        <w:fldChar w:fldCharType="begin" w:fldLock="1"/>
      </w:r>
      <w:r w:rsidR="001312F9">
        <w:rPr>
          <w:rFonts w:ascii="Times New Roman" w:hAnsi="Times New Roman"/>
          <w:sz w:val="24"/>
          <w:szCs w:val="24"/>
          <w:lang w:val="en-US"/>
        </w:rPr>
        <w:instrText>ADDIN CSL_CITATION {"citationItems":[{"id":"ITEM-1","itemData":{"DOI":"10.1016/j.cep.2014.09.001","author":[{"dropping-particle":"","family":"Rahimi","given":"Masoud","non-dropping-particle":"","parse-names":false,"suffix":""},{"dropping-particle":"","family":"Valeh-e-Sheyda","given":"Peyvand","non-dropping-particle":"","parse-names":false,"suffix":""},{"dropping-particle":"","family":"Parsamoghadam","given":"Mohammad Amin","non-dropping-particle":"","parse-names":false,"suffix":""},{"dropping-particle":"","family":"Azimi","given":"Neda","non-dropping-particle":"","parse-names":false,"suffix":""},{"dropping-particle":"","family":"Adibi","given":"Hadi","non-dropping-particle":"","parse-names":false,"suffix":""}],"container-title":"Chemical Engineering and Processing: Process Intensification","id":"ITEM-1","issued":{"date-parts":[["2014"]]},"page":"178-186","title":"LASP and Villermaux/Dushman protocols for mixing performance in microchannels: Effect of geometry on micromixing characterization and size reduction","type":"article-journal","volume":"85"},"uris":["http://www.mendeley.com/documents/?uuid=54ffec09-7021-4974-8aba-f249ff8cc8ab"]}],"mendeley":{"formattedCitation":"&lt;sup&gt;7&lt;/sup&gt;","plainTextFormattedCitation":"7","previouslyFormattedCitation":"&lt;sup&gt;7&lt;/sup&gt;"},"properties":{"noteIndex":0},"schema":"https://github.com/citation-style-language/schema/raw/master/csl-citation.json"}</w:instrText>
      </w:r>
      <w:r w:rsidRPr="00373B8E">
        <w:rPr>
          <w:rFonts w:ascii="Times New Roman" w:hAnsi="Times New Roman"/>
          <w:sz w:val="24"/>
          <w:szCs w:val="24"/>
          <w:lang w:val="en-US"/>
        </w:rPr>
        <w:fldChar w:fldCharType="separate"/>
      </w:r>
      <w:r w:rsidR="005B153C" w:rsidRPr="005B153C">
        <w:rPr>
          <w:rFonts w:ascii="Times New Roman" w:hAnsi="Times New Roman"/>
          <w:noProof/>
          <w:sz w:val="24"/>
          <w:szCs w:val="24"/>
          <w:vertAlign w:val="superscript"/>
          <w:lang w:val="en-US"/>
        </w:rPr>
        <w:t>7</w:t>
      </w:r>
      <w:r w:rsidRPr="00373B8E">
        <w:rPr>
          <w:rFonts w:ascii="Times New Roman" w:hAnsi="Times New Roman"/>
          <w:sz w:val="24"/>
          <w:szCs w:val="24"/>
          <w:lang w:val="en-US"/>
        </w:rPr>
        <w:fldChar w:fldCharType="end"/>
      </w:r>
      <w:r w:rsidRPr="00373B8E">
        <w:rPr>
          <w:rFonts w:ascii="Times New Roman" w:hAnsi="Times New Roman"/>
          <w:sz w:val="24"/>
          <w:szCs w:val="24"/>
          <w:lang w:val="en-US"/>
        </w:rPr>
        <w:t xml:space="preserve"> In fact, “Molecular diffusion is the ultimate and finally the only process really able to mix components of a fluid on the molecular scale”</w:t>
      </w:r>
      <w:r w:rsidR="00F811D5">
        <w:rPr>
          <w:rFonts w:ascii="Times New Roman" w:hAnsi="Times New Roman"/>
          <w:sz w:val="24"/>
          <w:szCs w:val="24"/>
          <w:lang w:val="en-US"/>
        </w:rPr>
        <w:t>.</w:t>
      </w:r>
      <w:r w:rsidRPr="00373B8E">
        <w:rPr>
          <w:rFonts w:ascii="Times New Roman" w:hAnsi="Times New Roman"/>
          <w:sz w:val="24"/>
          <w:szCs w:val="24"/>
          <w:lang w:val="en-US"/>
        </w:rPr>
        <w:fldChar w:fldCharType="begin" w:fldLock="1"/>
      </w:r>
      <w:r w:rsidR="001312F9">
        <w:rPr>
          <w:rFonts w:ascii="Times New Roman" w:hAnsi="Times New Roman"/>
          <w:sz w:val="24"/>
          <w:szCs w:val="24"/>
          <w:lang w:val="en-US"/>
        </w:rPr>
        <w:instrText>ADDIN CSL_CITATION {"citationItems":[{"id":"ITEM-1","itemData":{"DOI":"10.1016/j.ces.2009.05.045","ISSN":"1","author":[{"dropping-particle":"","family":"Falk","given":"L","non-dropping-particle":"","parse-names":false,"suffix":""},{"dropping-particle":"","family":"Commenge","given":"J M","non-dropping-particle":"","parse-names":false,"suffix":""}],"container-title":"Chemical Engineering Science","id":"ITEM-1","issue":"1","issued":{"date-parts":[["2010"]]},"page":"405-411","title":"Performance comparison of micromixers","type":"article-journal","volume":"65"},"uris":["http://www.mendeley.com/documents/?uuid=fe043e11-1920-4b33-bbf6-b7ed148a326f"]}],"mendeley":{"formattedCitation":"&lt;sup&gt;6&lt;/sup&gt;","plainTextFormattedCitation":"6","previouslyFormattedCitation":"&lt;sup&gt;6&lt;/sup&gt;"},"properties":{"noteIndex":0},"schema":"https://github.com/citation-style-language/schema/raw/master/csl-citation.json"}</w:instrText>
      </w:r>
      <w:r w:rsidRPr="00373B8E">
        <w:rPr>
          <w:rFonts w:ascii="Times New Roman" w:hAnsi="Times New Roman"/>
          <w:sz w:val="24"/>
          <w:szCs w:val="24"/>
          <w:lang w:val="en-US"/>
        </w:rPr>
        <w:fldChar w:fldCharType="separate"/>
      </w:r>
      <w:r w:rsidR="005B153C" w:rsidRPr="005B153C">
        <w:rPr>
          <w:rFonts w:ascii="Times New Roman" w:hAnsi="Times New Roman"/>
          <w:noProof/>
          <w:sz w:val="24"/>
          <w:szCs w:val="24"/>
          <w:vertAlign w:val="superscript"/>
          <w:lang w:val="en-US"/>
        </w:rPr>
        <w:t>6</w:t>
      </w:r>
      <w:r w:rsidRPr="00373B8E">
        <w:rPr>
          <w:rFonts w:ascii="Times New Roman" w:hAnsi="Times New Roman"/>
          <w:sz w:val="24"/>
          <w:szCs w:val="24"/>
          <w:lang w:val="en-US"/>
        </w:rPr>
        <w:fldChar w:fldCharType="end"/>
      </w:r>
      <w:r w:rsidRPr="00373B8E">
        <w:rPr>
          <w:rFonts w:ascii="Times New Roman" w:hAnsi="Times New Roman"/>
          <w:sz w:val="24"/>
          <w:szCs w:val="24"/>
          <w:lang w:val="en-US"/>
        </w:rPr>
        <w:t xml:space="preserve"> </w:t>
      </w:r>
    </w:p>
    <w:p w:rsidR="00373B8E" w:rsidRPr="00373B8E" w:rsidRDefault="00373B8E" w:rsidP="00951C1B">
      <w:pPr>
        <w:spacing w:after="0" w:line="360" w:lineRule="auto"/>
        <w:rPr>
          <w:rFonts w:ascii="Times New Roman" w:hAnsi="Times New Roman"/>
          <w:sz w:val="24"/>
          <w:szCs w:val="24"/>
          <w:lang w:val="en-US"/>
        </w:rPr>
      </w:pPr>
      <w:r w:rsidRPr="00373B8E">
        <w:rPr>
          <w:rFonts w:ascii="Times New Roman" w:hAnsi="Times New Roman"/>
          <w:sz w:val="24"/>
          <w:szCs w:val="24"/>
          <w:lang w:val="en-US"/>
        </w:rPr>
        <w:t>As a result of their small sized channels, micromixers offer increased fluid surface area to volume ratio and this makes them very useful in high mass transfer and heat transfer applications</w:t>
      </w:r>
      <w:r w:rsidR="00F811D5">
        <w:rPr>
          <w:rFonts w:ascii="Times New Roman" w:hAnsi="Times New Roman"/>
          <w:sz w:val="24"/>
          <w:szCs w:val="24"/>
          <w:lang w:val="en-US"/>
        </w:rPr>
        <w:t>.</w:t>
      </w:r>
      <w:r w:rsidRPr="00373B8E">
        <w:rPr>
          <w:rFonts w:ascii="Times New Roman" w:hAnsi="Times New Roman"/>
          <w:sz w:val="24"/>
          <w:szCs w:val="24"/>
          <w:lang w:val="en-US"/>
        </w:rPr>
        <w:fldChar w:fldCharType="begin" w:fldLock="1"/>
      </w:r>
      <w:r w:rsidR="001312F9">
        <w:rPr>
          <w:rFonts w:ascii="Times New Roman" w:hAnsi="Times New Roman"/>
          <w:sz w:val="24"/>
          <w:szCs w:val="24"/>
          <w:lang w:val="en-US"/>
        </w:rPr>
        <w:instrText>ADDIN CSL_CITATION {"citationItems":[{"id":"ITEM-1","itemData":{"DOI":"10.1007/s00542-016-3118-6","ISSN":"0946-7076","author":[{"dropping-particle":"","family":"Rahimi","given":"Masoud","non-dropping-particle":"","parse-names":false,"suffix":""},{"dropping-particle":"","family":"Azimi","given":"Neda","non-dropping-particle":"","parse-names":false,"suffix":""},{"dropping-particle":"","family":"Parsamogadam","given":"Mohammad Amin","non-dropping-particle":"","parse-names":false,"suffix":""},{"dropping-particle":"","family":"Rahimi","given":"Alireza","non-dropping-particle":"","parse-names":false,"suffix":""},{"dropping-particle":"","family":"Masahy","given":"Mohammad Moein","non-dropping-particle":"","parse-names":false,"suffix":""},{"dropping-particle":"","family":"Rahimi","given":"Masoud","non-dropping-particle":"","parse-names":false,"suffix":""},{"dropping-particle":"","family":"Azimi","given":"Neda","non-dropping-particle":"","parse-names":false,"suffix":""},{"dropping-particle":"","family":"Parsamogadam","given":"Mohammad Amin","non-dropping-particle":"","parse-names":false,"suffix":""}],"container-title":"Microsystem Technologies","id":"ITEM-1","issue":"8","issued":{"date-parts":[["2017"]]},"page":"3117–3130","title":"Mixing performance of T, Y, and oriented Y ‑ micromixers with spatially arranged outlet channel: evaluation with Villermaux/Dushman test reaction","type":"article-journal","volume":"23"},"uris":["http://www.mendeley.com/documents/?uuid=916ceb83-ef8d-40cb-af66-78e1121bf6ae"]}],"mendeley":{"formattedCitation":"&lt;sup&gt;5&lt;/sup&gt;","plainTextFormattedCitation":"5","previouslyFormattedCitation":"&lt;sup&gt;5&lt;/sup&gt;"},"properties":{"noteIndex":0},"schema":"https://github.com/citation-style-language/schema/raw/master/csl-citation.json"}</w:instrText>
      </w:r>
      <w:r w:rsidRPr="00373B8E">
        <w:rPr>
          <w:rFonts w:ascii="Times New Roman" w:hAnsi="Times New Roman"/>
          <w:sz w:val="24"/>
          <w:szCs w:val="24"/>
          <w:lang w:val="en-US"/>
        </w:rPr>
        <w:fldChar w:fldCharType="separate"/>
      </w:r>
      <w:r w:rsidR="005B153C" w:rsidRPr="005B153C">
        <w:rPr>
          <w:rFonts w:ascii="Times New Roman" w:hAnsi="Times New Roman"/>
          <w:noProof/>
          <w:sz w:val="24"/>
          <w:szCs w:val="24"/>
          <w:vertAlign w:val="superscript"/>
          <w:lang w:val="en-US"/>
        </w:rPr>
        <w:t>5</w:t>
      </w:r>
      <w:r w:rsidRPr="00373B8E">
        <w:rPr>
          <w:rFonts w:ascii="Times New Roman" w:hAnsi="Times New Roman"/>
          <w:sz w:val="24"/>
          <w:szCs w:val="24"/>
          <w:lang w:val="en-US"/>
        </w:rPr>
        <w:fldChar w:fldCharType="end"/>
      </w:r>
      <w:r w:rsidRPr="00373B8E">
        <w:rPr>
          <w:rFonts w:ascii="Times New Roman" w:hAnsi="Times New Roman"/>
          <w:sz w:val="24"/>
          <w:szCs w:val="24"/>
          <w:lang w:val="en-US"/>
        </w:rPr>
        <w:t xml:space="preserve"> Commenge and Falk noted some other interesting applications of micromixers arising from their compact nature, to include: safety of operation in case of highly exothermic and fast reactions involving hazardous chemicals; new and untapped reaction routes for chemical synthesis (such as direct fluorination), which are very dangerous can be accessed and there is improved efficiency in energy utilization by using passive micromixers</w:t>
      </w:r>
      <w:r w:rsidR="00F811D5">
        <w:rPr>
          <w:rFonts w:ascii="Times New Roman" w:hAnsi="Times New Roman"/>
          <w:sz w:val="24"/>
          <w:szCs w:val="24"/>
          <w:lang w:val="en-US"/>
        </w:rPr>
        <w:t>.</w:t>
      </w:r>
      <w:r w:rsidRPr="00373B8E">
        <w:rPr>
          <w:rFonts w:ascii="Times New Roman" w:hAnsi="Times New Roman"/>
          <w:sz w:val="24"/>
          <w:szCs w:val="24"/>
          <w:lang w:val="en-US"/>
        </w:rPr>
        <w:fldChar w:fldCharType="begin" w:fldLock="1"/>
      </w:r>
      <w:r w:rsidR="001312F9">
        <w:rPr>
          <w:rFonts w:ascii="Times New Roman" w:hAnsi="Times New Roman"/>
          <w:sz w:val="24"/>
          <w:szCs w:val="24"/>
          <w:lang w:val="en-US"/>
        </w:rPr>
        <w:instrText>ADDIN CSL_CITATION {"citationItems":[{"id":"ITEM-1","itemData":{"DOI":"10.1016/j.cep.2011.06.006","ISSN":"10","author":[{"dropping-particle":"","family":"Commenge","given":"Jean Marc","non-dropping-particle":"","parse-names":false,"suffix":""},{"dropping-particle":"","family":"Falk","given":"Laurent","non-dropping-particle":"","parse-names":false,"suffix":""}],"container-title":"Chemical Engineering and Processing: Process Intensification","id":"ITEM-1","issue":"10","issued":{"date-parts":[["2011"]]},"page":"979-990","title":"Villermaux–Dushman protocol for experimental characterization of micromixers","type":"article-journal","volume":"50"},"uris":["http://www.mendeley.com/documents/?uuid=e29ec2c0-86b3-4a1c-8a25-efb133b84b50"]}],"mendeley":{"formattedCitation":"&lt;sup&gt;3&lt;/sup&gt;","plainTextFormattedCitation":"3","previouslyFormattedCitation":"&lt;sup&gt;3&lt;/sup&gt;"},"properties":{"noteIndex":0},"schema":"https://github.com/citation-style-language/schema/raw/master/csl-citation.json"}</w:instrText>
      </w:r>
      <w:r w:rsidRPr="00373B8E">
        <w:rPr>
          <w:rFonts w:ascii="Times New Roman" w:hAnsi="Times New Roman"/>
          <w:sz w:val="24"/>
          <w:szCs w:val="24"/>
          <w:lang w:val="en-US"/>
        </w:rPr>
        <w:fldChar w:fldCharType="separate"/>
      </w:r>
      <w:r w:rsidR="005B153C" w:rsidRPr="005B153C">
        <w:rPr>
          <w:rFonts w:ascii="Times New Roman" w:hAnsi="Times New Roman"/>
          <w:noProof/>
          <w:sz w:val="24"/>
          <w:szCs w:val="24"/>
          <w:vertAlign w:val="superscript"/>
          <w:lang w:val="en-US"/>
        </w:rPr>
        <w:t>3</w:t>
      </w:r>
      <w:r w:rsidRPr="00373B8E">
        <w:rPr>
          <w:rFonts w:ascii="Times New Roman" w:hAnsi="Times New Roman"/>
          <w:sz w:val="24"/>
          <w:szCs w:val="24"/>
          <w:lang w:val="en-US"/>
        </w:rPr>
        <w:fldChar w:fldCharType="end"/>
      </w:r>
      <w:r w:rsidRPr="00373B8E">
        <w:rPr>
          <w:rFonts w:ascii="Times New Roman" w:hAnsi="Times New Roman"/>
          <w:sz w:val="24"/>
          <w:szCs w:val="24"/>
          <w:lang w:val="en-US"/>
        </w:rPr>
        <w:t xml:space="preserve"> In addition, the small sized devices save materials and time; since just little volume of fluid is required to operate them and reasonably short residence time is needed. Unlike most chemical process equipment that are bulky, micromixers are very portable.</w:t>
      </w:r>
    </w:p>
    <w:p w:rsidR="00373B8E" w:rsidRPr="00373B8E" w:rsidRDefault="00373B8E" w:rsidP="00951C1B">
      <w:pPr>
        <w:spacing w:after="0" w:line="360" w:lineRule="auto"/>
        <w:rPr>
          <w:rFonts w:ascii="Times New Roman" w:hAnsi="Times New Roman"/>
          <w:sz w:val="24"/>
          <w:szCs w:val="24"/>
          <w:lang w:val="en-US"/>
        </w:rPr>
      </w:pPr>
      <w:r w:rsidRPr="00373B8E">
        <w:rPr>
          <w:rFonts w:ascii="Times New Roman" w:hAnsi="Times New Roman"/>
          <w:sz w:val="24"/>
          <w:szCs w:val="24"/>
          <w:lang w:val="en-US"/>
        </w:rPr>
        <w:t xml:space="preserve">Consequent to the relevance of mixing and the beneficial nature of micromixers, assessment of the mixing performance of micromixers is a very important step for their design (making </w:t>
      </w:r>
      <w:r w:rsidRPr="00373B8E">
        <w:rPr>
          <w:rFonts w:ascii="Times New Roman" w:hAnsi="Times New Roman"/>
          <w:sz w:val="24"/>
          <w:szCs w:val="24"/>
          <w:lang w:val="en-US"/>
        </w:rPr>
        <w:lastRenderedPageBreak/>
        <w:t>good choices). While it may be so easy to assess the performance of some micro-devices by comparison of some standard parameters like heat transfer coefficient for heat exchangers, the case of micromixers is quite difficult</w:t>
      </w:r>
      <w:r w:rsidR="00F811D5">
        <w:rPr>
          <w:rFonts w:ascii="Times New Roman" w:hAnsi="Times New Roman"/>
          <w:sz w:val="24"/>
          <w:szCs w:val="24"/>
          <w:lang w:val="en-US"/>
        </w:rPr>
        <w:t>.</w:t>
      </w:r>
      <w:r w:rsidRPr="00373B8E">
        <w:rPr>
          <w:rFonts w:ascii="Times New Roman" w:hAnsi="Times New Roman"/>
          <w:sz w:val="24"/>
          <w:szCs w:val="24"/>
          <w:lang w:val="en-US"/>
        </w:rPr>
        <w:fldChar w:fldCharType="begin" w:fldLock="1"/>
      </w:r>
      <w:r w:rsidR="001312F9">
        <w:rPr>
          <w:rFonts w:ascii="Times New Roman" w:hAnsi="Times New Roman"/>
          <w:sz w:val="24"/>
          <w:szCs w:val="24"/>
          <w:lang w:val="en-US"/>
        </w:rPr>
        <w:instrText>ADDIN CSL_CITATION {"citationItems":[{"id":"ITEM-1","itemData":{"DOI":"10.1021/ie980128d","ISSN":"3","author":[{"dropping-particle":"","family":"Ehrfeld","given":"Wolfgang","non-dropping-particle":"","parse-names":false,"suffix":""},{"dropping-particle":"","family":"Golbig","given":"Klaus","non-dropping-particle":"","parse-names":false,"suffix":""},{"dropping-particle":"","family":"Hessel","given":"Volker","non-dropping-particle":"","parse-names":false,"suffix":""},{"dropping-particle":"","family":"Löwe","given":"Holger","non-dropping-particle":"","parse-names":false,"suffix":""},{"dropping-particle":"","family":"Richter","given":"Thomas","non-dropping-particle":"","parse-names":false,"suffix":""}],"container-title":"Industrial &amp; Engineering Chemistry Research","id":"ITEM-1","issue":"3","issued":{"date-parts":[["1999"]]},"page":"1075-1082","title":"Characterization of Mixing in Micromixers by a Test Reaction: Single Mixing Units and Mixer Arrays","type":"article-journal","volume":"38"},"uris":["http://www.mendeley.com/documents/?uuid=15ab2cbc-0d7c-4223-8d63-76110530bfc3"]}],"mendeley":{"formattedCitation":"&lt;sup&gt;2&lt;/sup&gt;","plainTextFormattedCitation":"2","previouslyFormattedCitation":"&lt;sup&gt;2&lt;/sup&gt;"},"properties":{"noteIndex":0},"schema":"https://github.com/citation-style-language/schema/raw/master/csl-citation.json"}</w:instrText>
      </w:r>
      <w:r w:rsidRPr="00373B8E">
        <w:rPr>
          <w:rFonts w:ascii="Times New Roman" w:hAnsi="Times New Roman"/>
          <w:sz w:val="24"/>
          <w:szCs w:val="24"/>
          <w:lang w:val="en-US"/>
        </w:rPr>
        <w:fldChar w:fldCharType="separate"/>
      </w:r>
      <w:r w:rsidR="005B153C" w:rsidRPr="005B153C">
        <w:rPr>
          <w:rFonts w:ascii="Times New Roman" w:hAnsi="Times New Roman"/>
          <w:noProof/>
          <w:sz w:val="24"/>
          <w:szCs w:val="24"/>
          <w:vertAlign w:val="superscript"/>
          <w:lang w:val="en-US"/>
        </w:rPr>
        <w:t>2</w:t>
      </w:r>
      <w:r w:rsidRPr="00373B8E">
        <w:rPr>
          <w:rFonts w:ascii="Times New Roman" w:hAnsi="Times New Roman"/>
          <w:sz w:val="24"/>
          <w:szCs w:val="24"/>
          <w:lang w:val="en-US"/>
        </w:rPr>
        <w:fldChar w:fldCharType="end"/>
      </w:r>
      <w:r w:rsidRPr="00373B8E">
        <w:rPr>
          <w:rFonts w:ascii="Times New Roman" w:hAnsi="Times New Roman"/>
          <w:sz w:val="24"/>
          <w:szCs w:val="24"/>
          <w:lang w:val="en-US"/>
        </w:rPr>
        <w:t xml:space="preserve"> A number of techniques have been utilized to assess mixing performance and they include in order of increasing preference: visualization of dyes as their colour fades away due to dilution by mixing or as their colour changes in case of pH sensitive dyes, visualization of reactions that progress with change in colour and most recently, monitoring of competitive test reaction schemes</w:t>
      </w:r>
      <w:r w:rsidR="00F811D5">
        <w:rPr>
          <w:rFonts w:ascii="Times New Roman" w:hAnsi="Times New Roman"/>
          <w:sz w:val="24"/>
          <w:szCs w:val="24"/>
          <w:lang w:val="en-US"/>
        </w:rPr>
        <w:t>.</w:t>
      </w:r>
      <w:r w:rsidRPr="00373B8E">
        <w:rPr>
          <w:rFonts w:ascii="Times New Roman" w:hAnsi="Times New Roman"/>
          <w:sz w:val="24"/>
          <w:szCs w:val="24"/>
          <w:lang w:val="en-US"/>
        </w:rPr>
        <w:fldChar w:fldCharType="begin" w:fldLock="1"/>
      </w:r>
      <w:r w:rsidR="001312F9">
        <w:rPr>
          <w:rFonts w:ascii="Times New Roman" w:hAnsi="Times New Roman"/>
          <w:sz w:val="24"/>
          <w:szCs w:val="24"/>
          <w:lang w:val="en-US"/>
        </w:rPr>
        <w:instrText>ADDIN CSL_CITATION {"citationItems":[{"id":"ITEM-1","itemData":{"DOI":"10.1016/j.ces.2009.12.001","ISSN":"6","author":[{"dropping-particle":"","family":"Aubin","given":"Joëlle","non-dropping-particle":"","parse-names":false,"suffix":""},{"dropping-particle":"","family":"Ferrando","given":"Montse","non-dropping-particle":"","parse-names":false,"suffix":""},{"dropping-particle":"","family":"Jiricny","given":"Vladimir","non-dropping-particle":"","parse-names":false,"suffix":""}],"container-title":"Chemical Engineering Science","id":"ITEM-1","issue":"6","issued":{"date-parts":[["2010"]]},"page":"2065-2093","title":"Current methods for characterising mixing and flow in microchannels","type":"article-journal","volume":"65"},"uris":["http://www.mendeley.com/documents/?uuid=33e3685e-8331-4791-bf4e-995dea2b1a9f"]},{"id":"ITEM-2","itemData":{"DOI":"10.1021/ie980128d","ISSN":"3","author":[{"dropping-particle":"","family":"Ehrfeld","given":"Wolfgang","non-dropping-particle":"","parse-names":false,"suffix":""},{"dropping-particle":"","family":"Golbig","given":"Klaus","non-dropping-particle":"","parse-names":false,"suffix":""},{"dropping-particle":"","family":"Hessel","given":"Volker","non-dropping-particle":"","parse-names":false,"suffix":""},{"dropping-particle":"","family":"Löwe","given":"Holger","non-dropping-particle":"","parse-names":false,"suffix":""},{"dropping-particle":"","family":"Richter","given":"Thomas","non-dropping-particle":"","parse-names":false,"suffix":""}],"container-title":"Industrial &amp; Engineering Chemistry Research","id":"ITEM-2","issue":"3","issued":{"date-parts":[["1999"]]},"page":"1075-1082","title":"Characterization of Mixing in Micromixers by a Test Reaction: Single Mixing Units and Mixer Arrays","type":"article-journal","volume":"38"},"uris":["http://www.mendeley.com/documents/?uuid=15ab2cbc-0d7c-4223-8d63-76110530bfc3"]},{"id":"ITEM-3","itemData":{"DOI":"10.1016/j.cep.2011.06.006","ISSN":"10","author":[{"dropping-particle":"","family":"Commenge","given":"Jean Marc","non-dropping-particle":"","parse-names":false,"suffix":""},{"dropping-particle":"","family":"Falk","given":"Laurent","non-dropping-particle":"","parse-names":false,"suffix":""}],"container-title":"Chemical Engineering and Processing: Process Intensification","id":"ITEM-3","issue":"10","issued":{"date-parts":[["2011"]]},"page":"979-990","title":"Villermaux–Dushman protocol for experimental characterization of micromixers","type":"article-journal","volume":"50"},"uris":["http://www.mendeley.com/documents/?uuid=e29ec2c0-86b3-4a1c-8a25-efb133b84b50"]},{"id":"ITEM-4","itemData":{"DOI":"10.1016/j.cej.2017.06.106","ISSN":"13858947","abstract":"A novel design is presented for a chaotic micromixer using two-layer serpentine crossing microchannels. The performance of the micromixer was analyzed both numerically and experimentally. The numerical analysis was performed using three-dimensional Navier-Stokes equations with a convection–diffusion model for the species concentration in a Reynolds number range of 0.2–120. An experimental model of the micromixer was fabricated by soft lithography with polydimethylsiloxane (PDMS). Two working fluids, water and dye-water mixture were used for numerical analysis except for the experimental validation of numerical results. Both the numerical and experimental analyses confirm that the micromixer achieves a high level of mixing over a wide range of Reynolds numbers through splitting, enlarging, recombination, and folding mechanisms. The micromixer showed over 95% mixing throughout the tested range of Reynolds number. Especially, about 99% mixing was achieved at Reynolds numbers less than ten. Thus, the proposed micromixer can be used in microfluidic systems which require fast mixing at low Reynolds numbers.","author":[{"dropping-particle":"","family":"Hossain","given":"Shakhawat","non-dropping-particle":"","parse-names":false,"suffix":""},{"dropping-particle":"","family":"Lee","given":"Insu","non-dropping-particle":"","parse-names":false,"suffix":""},{"dropping-particle":"","family":"Kim","given":"Sun Min","non-dropping-particle":"","parse-names":false,"suffix":""},{"dropping-particle":"","family":"Kim","given":"Kwang-Yong Yong","non-dropping-particle":"","parse-names":false,"suffix":""}],"container-title":"Chemical Engineering Journal","id":"ITEM-4","issued":{"date-parts":[["2017"]]},"page":"268-277","publisher":"Elsevier B.V.","title":"A micromixer with two-layer serpentine crossing channels having excellent mixing performance at low Reynolds numbers","type":"article-journal","volume":"327"},"uris":["http://www.mendeley.com/documents/?uuid=24d2df06-c3f6-42c2-881b-71686fcbb6ad"]}],"mendeley":{"formattedCitation":"&lt;sup&gt;1–3,8&lt;/sup&gt;","plainTextFormattedCitation":"1–3,8","previouslyFormattedCitation":"&lt;sup&gt;1–3,8&lt;/sup&gt;"},"properties":{"noteIndex":0},"schema":"https://github.com/citation-style-language/schema/raw/master/csl-citation.json"}</w:instrText>
      </w:r>
      <w:r w:rsidRPr="00373B8E">
        <w:rPr>
          <w:rFonts w:ascii="Times New Roman" w:hAnsi="Times New Roman"/>
          <w:sz w:val="24"/>
          <w:szCs w:val="24"/>
          <w:lang w:val="en-US"/>
        </w:rPr>
        <w:fldChar w:fldCharType="separate"/>
      </w:r>
      <w:r w:rsidR="005B153C" w:rsidRPr="005B153C">
        <w:rPr>
          <w:rFonts w:ascii="Times New Roman" w:hAnsi="Times New Roman"/>
          <w:noProof/>
          <w:sz w:val="24"/>
          <w:szCs w:val="24"/>
          <w:vertAlign w:val="superscript"/>
          <w:lang w:val="en-US"/>
        </w:rPr>
        <w:t>1–3,8</w:t>
      </w:r>
      <w:r w:rsidRPr="00373B8E">
        <w:rPr>
          <w:rFonts w:ascii="Times New Roman" w:hAnsi="Times New Roman"/>
          <w:sz w:val="24"/>
          <w:szCs w:val="24"/>
          <w:lang w:val="en-US"/>
        </w:rPr>
        <w:fldChar w:fldCharType="end"/>
      </w:r>
    </w:p>
    <w:p w:rsidR="00373B8E" w:rsidRPr="00373B8E" w:rsidRDefault="00373B8E" w:rsidP="00951C1B">
      <w:pPr>
        <w:spacing w:after="0" w:line="360" w:lineRule="auto"/>
        <w:rPr>
          <w:rFonts w:ascii="Times New Roman" w:eastAsia="Times New Roman" w:hAnsi="Times New Roman"/>
          <w:sz w:val="24"/>
          <w:szCs w:val="24"/>
          <w:lang w:val="en-US"/>
        </w:rPr>
      </w:pPr>
      <w:r w:rsidRPr="00373B8E">
        <w:rPr>
          <w:rFonts w:ascii="Times New Roman" w:hAnsi="Times New Roman"/>
          <w:sz w:val="24"/>
          <w:szCs w:val="24"/>
          <w:lang w:val="en-US"/>
        </w:rPr>
        <w:t>Amongst the competitive test reaction schemes used for mixing performance assessment, Villermaux-Dushman reaction scheme which consists of two parallel reactions: neutralization and redox reactions in competition for proton from acid, is well known and most used</w:t>
      </w:r>
      <w:r w:rsidR="00F811D5">
        <w:rPr>
          <w:rFonts w:ascii="Times New Roman" w:hAnsi="Times New Roman"/>
          <w:sz w:val="24"/>
          <w:szCs w:val="24"/>
          <w:lang w:val="en-US"/>
        </w:rPr>
        <w:t>.</w:t>
      </w:r>
      <w:r w:rsidRPr="00373B8E">
        <w:rPr>
          <w:rFonts w:ascii="Times New Roman" w:hAnsi="Times New Roman"/>
          <w:sz w:val="24"/>
          <w:szCs w:val="24"/>
          <w:lang w:val="en-US"/>
        </w:rPr>
        <w:fldChar w:fldCharType="begin" w:fldLock="1"/>
      </w:r>
      <w:r w:rsidR="001312F9">
        <w:rPr>
          <w:rFonts w:ascii="Times New Roman" w:hAnsi="Times New Roman"/>
          <w:sz w:val="24"/>
          <w:szCs w:val="24"/>
          <w:lang w:val="en-US"/>
        </w:rPr>
        <w:instrText>ADDIN CSL_CITATION {"citationItems":[{"id":"ITEM-1","itemData":{"DOI":"10.1016/j.cep.2011.06.006","ISSN":"10","author":[{"dropping-particle":"","family":"Commenge","given":"Jean Marc","non-dropping-particle":"","parse-names":false,"suffix":""},{"dropping-particle":"","family":"Falk","given":"Laurent","non-dropping-particle":"","parse-names":false,"suffix":""}],"container-title":"Chemical Engineering and Processing: Process Intensification","id":"ITEM-1","issue":"10","issued":{"date-parts":[["2011"]]},"page":"979-990","title":"Villermaux–Dushman protocol for experimental characterization of micromixers","type":"article-journal","volume":"50"},"uris":["http://www.mendeley.com/documents/?uuid=e29ec2c0-86b3-4a1c-8a25-efb133b84b50"]},{"id":"ITEM-2","itemData":{"DOI":"10.1016/j.cep.2014.09.001","author":[{"dropping-particle":"","family":"Rahimi","given":"Masoud","non-dropping-particle":"","parse-names":false,"suffix":""},{"dropping-particle":"","family":"Valeh-e-Sheyda","given":"Peyvand","non-dropping-particle":"","parse-names":false,"suffix":""},{"dropping-particle":"","family":"Parsamoghadam","given":"Mohammad Amin","non-dropping-particle":"","parse-names":false,"suffix":""},{"dropping-particle":"","family":"Azimi","given":"Neda","non-dropping-particle":"","parse-names":false,"suffix":""},{"dropping-particle":"","family":"Adibi","given":"Hadi","non-dropping-particle":"","parse-names":false,"suffix":""}],"container-title":"Chemical Engineering and Processing: Process Intensification","id":"ITEM-2","issued":{"date-parts":[["2014"]]},"page":"178-186","title":"LASP and Villermaux/Dushman protocols for mixing performance in microchannels: Effect of geometry on micromixing characterization and size reduction","type":"article-journal","volume":"85"},"uris":["http://www.mendeley.com/documents/?uuid=54ffec09-7021-4974-8aba-f249ff8cc8ab"]}],"mendeley":{"formattedCitation":"&lt;sup&gt;3,7&lt;/sup&gt;","plainTextFormattedCitation":"3,7","previouslyFormattedCitation":"&lt;sup&gt;3,7&lt;/sup&gt;"},"properties":{"noteIndex":0},"schema":"https://github.com/citation-style-language/schema/raw/master/csl-citation.json"}</w:instrText>
      </w:r>
      <w:r w:rsidRPr="00373B8E">
        <w:rPr>
          <w:rFonts w:ascii="Times New Roman" w:hAnsi="Times New Roman"/>
          <w:sz w:val="24"/>
          <w:szCs w:val="24"/>
          <w:lang w:val="en-US"/>
        </w:rPr>
        <w:fldChar w:fldCharType="separate"/>
      </w:r>
      <w:r w:rsidR="005B153C" w:rsidRPr="005B153C">
        <w:rPr>
          <w:rFonts w:ascii="Times New Roman" w:hAnsi="Times New Roman"/>
          <w:noProof/>
          <w:sz w:val="24"/>
          <w:szCs w:val="24"/>
          <w:vertAlign w:val="superscript"/>
          <w:lang w:val="en-US"/>
        </w:rPr>
        <w:t>3,7</w:t>
      </w:r>
      <w:r w:rsidRPr="00373B8E">
        <w:rPr>
          <w:rFonts w:ascii="Times New Roman" w:hAnsi="Times New Roman"/>
          <w:sz w:val="24"/>
          <w:szCs w:val="24"/>
          <w:lang w:val="en-US"/>
        </w:rPr>
        <w:fldChar w:fldCharType="end"/>
      </w:r>
      <w:r w:rsidRPr="00373B8E">
        <w:rPr>
          <w:rFonts w:ascii="Times New Roman" w:eastAsia="Times New Roman" w:hAnsi="Times New Roman"/>
          <w:sz w:val="24"/>
          <w:szCs w:val="24"/>
          <w:lang w:val="en-US"/>
        </w:rPr>
        <w:t xml:space="preserve"> The neutralization reaction given by Eq. 1 is instantaneous (extremely fast) while the redox reaction (Eq. 2) is just fast</w:t>
      </w:r>
      <w:r w:rsidR="00F811D5">
        <w:rPr>
          <w:rFonts w:ascii="Times New Roman" w:eastAsia="Times New Roman" w:hAnsi="Times New Roman"/>
          <w:sz w:val="24"/>
          <w:szCs w:val="24"/>
          <w:lang w:val="en-US"/>
        </w:rPr>
        <w:t>.</w:t>
      </w:r>
      <w:r w:rsidRPr="00373B8E">
        <w:rPr>
          <w:rFonts w:ascii="Times New Roman" w:eastAsia="Times New Roman" w:hAnsi="Times New Roman"/>
          <w:sz w:val="24"/>
          <w:szCs w:val="24"/>
          <w:lang w:val="en-US"/>
        </w:rPr>
        <w:fldChar w:fldCharType="begin" w:fldLock="1"/>
      </w:r>
      <w:r w:rsidR="001312F9">
        <w:rPr>
          <w:rFonts w:ascii="Times New Roman" w:eastAsia="Times New Roman" w:hAnsi="Times New Roman"/>
          <w:sz w:val="24"/>
          <w:szCs w:val="24"/>
          <w:lang w:val="en-US"/>
        </w:rPr>
        <w:instrText>ADDIN CSL_CITATION {"citationItems":[{"id":"ITEM-1","itemData":{"DOI":"10.1007/s00542-016-3118-6","ISSN":"0946-7076","author":[{"dropping-particle":"","family":"Rahimi","given":"Masoud","non-dropping-particle":"","parse-names":false,"suffix":""},{"dropping-particle":"","family":"Azimi","given":"Neda","non-dropping-particle":"","parse-names":false,"suffix":""},{"dropping-particle":"","family":"Parsamogadam","given":"Mohammad Amin","non-dropping-particle":"","parse-names":false,"suffix":""},{"dropping-particle":"","family":"Rahimi","given":"Alireza","non-dropping-particle":"","parse-names":false,"suffix":""},{"dropping-particle":"","family":"Masahy","given":"Mohammad Moein","non-dropping-particle":"","parse-names":false,"suffix":""},{"dropping-particle":"","family":"Rahimi","given":"Masoud","non-dropping-particle":"","parse-names":false,"suffix":""},{"dropping-particle":"","family":"Azimi","given":"Neda","non-dropping-particle":"","parse-names":false,"suffix":""},{"dropping-particle":"","family":"Parsamogadam","given":"Mohammad Amin","non-dropping-particle":"","parse-names":false,"suffix":""}],"container-title":"Microsystem Technologies","id":"ITEM-1","issue":"8","issued":{"date-parts":[["2017"]]},"page":"3117–3130","title":"Mixing performance of T, Y, and oriented Y ‑ micromixers with spatially arranged outlet channel: evaluation with Villermaux/Dushman test reaction","type":"article-journal","volume":"23"},"uris":["http://www.mendeley.com/documents/?uuid=916ceb83-ef8d-40cb-af66-78e1121bf6ae"]},{"id":"ITEM-2","itemData":{"DOI":"10.1016/j.ces.2009.05.045","ISSN":"1","author":[{"dropping-particle":"","family":"Falk","given":"L","non-dropping-particle":"","parse-names":false,"suffix":""},{"dropping-particle":"","family":"Commenge","given":"J M","non-dropping-particle":"","parse-names":false,"suffix":""}],"container-title":"Chemical Engineering Science","id":"ITEM-2","issue":"1","issued":{"date-parts":[["2010"]]},"page":"405-411","title":"Performance comparison of micromixers","type":"article-journal","volume":"65"},"uris":["http://www.mendeley.com/documents/?uuid=fe043e11-1920-4b33-bbf6-b7ed148a326f"]}],"mendeley":{"formattedCitation":"&lt;sup&gt;5,6&lt;/sup&gt;","plainTextFormattedCitation":"5,6","previouslyFormattedCitation":"&lt;sup&gt;5,6&lt;/sup&gt;"},"properties":{"noteIndex":0},"schema":"https://github.com/citation-style-language/schema/raw/master/csl-citation.json"}</w:instrText>
      </w:r>
      <w:r w:rsidRPr="00373B8E">
        <w:rPr>
          <w:rFonts w:ascii="Times New Roman" w:eastAsia="Times New Roman" w:hAnsi="Times New Roman"/>
          <w:sz w:val="24"/>
          <w:szCs w:val="24"/>
          <w:lang w:val="en-US"/>
        </w:rPr>
        <w:fldChar w:fldCharType="separate"/>
      </w:r>
      <w:r w:rsidR="005B153C" w:rsidRPr="005B153C">
        <w:rPr>
          <w:rFonts w:ascii="Times New Roman" w:eastAsia="Times New Roman" w:hAnsi="Times New Roman"/>
          <w:noProof/>
          <w:sz w:val="24"/>
          <w:szCs w:val="24"/>
          <w:vertAlign w:val="superscript"/>
          <w:lang w:val="en-US"/>
        </w:rPr>
        <w:t>5,6</w:t>
      </w:r>
      <w:r w:rsidRPr="00373B8E">
        <w:rPr>
          <w:rFonts w:ascii="Times New Roman" w:eastAsia="Times New Roman" w:hAnsi="Times New Roman"/>
          <w:sz w:val="24"/>
          <w:szCs w:val="24"/>
          <w:lang w:val="en-US"/>
        </w:rPr>
        <w:fldChar w:fldCharType="end"/>
      </w:r>
      <w:r w:rsidRPr="00373B8E">
        <w:rPr>
          <w:rFonts w:ascii="Times New Roman" w:eastAsia="Times New Roman" w:hAnsi="Times New Roman"/>
          <w:sz w:val="24"/>
          <w:szCs w:val="24"/>
          <w:lang w:val="en-US"/>
        </w:rPr>
        <w:t xml:space="preserve"> </w:t>
      </w:r>
      <w:r w:rsidRPr="00373B8E">
        <w:rPr>
          <w:rFonts w:ascii="Times New Roman" w:hAnsi="Times New Roman"/>
          <w:sz w:val="24"/>
          <w:szCs w:val="24"/>
          <w:lang w:val="en-US"/>
        </w:rPr>
        <w:t>All species in Eq. 1, 2 and 3 are aqueous.</w:t>
      </w:r>
    </w:p>
    <w:p w:rsidR="00373B8E" w:rsidRPr="00373B8E" w:rsidRDefault="00B82394" w:rsidP="00951C1B">
      <w:pPr>
        <w:spacing w:after="0" w:line="360" w:lineRule="auto"/>
        <w:rPr>
          <w:rFonts w:ascii="Times New Roman" w:hAnsi="Times New Roman"/>
          <w:sz w:val="24"/>
          <w:szCs w:val="24"/>
          <w:lang w:val="en-US"/>
        </w:rPr>
      </w:pPr>
      <w:r>
        <w:rPr>
          <w:rFonts w:ascii="Times New Roman" w:eastAsia="Times New Roman" w:hAnsi="Times New Roman"/>
          <w:sz w:val="24"/>
          <w:szCs w:val="24"/>
          <w:bdr w:val="none" w:sz="0" w:space="0" w:color="auto" w:frame="1"/>
          <w:lang w:val="en-US"/>
        </w:rPr>
        <w:t>H</w:t>
      </w:r>
      <w:r w:rsidRPr="00B82394">
        <w:rPr>
          <w:rFonts w:ascii="Times New Roman" w:eastAsia="Times New Roman" w:hAnsi="Times New Roman"/>
          <w:sz w:val="24"/>
          <w:szCs w:val="24"/>
          <w:bdr w:val="none" w:sz="0" w:space="0" w:color="auto" w:frame="1"/>
          <w:vertAlign w:val="subscript"/>
          <w:lang w:val="en-US"/>
        </w:rPr>
        <w:t>2</w:t>
      </w:r>
      <w:r w:rsidRPr="00B82394">
        <w:rPr>
          <w:rFonts w:ascii="Times New Roman" w:eastAsia="Times New Roman" w:hAnsi="Times New Roman"/>
          <w:sz w:val="24"/>
          <w:szCs w:val="24"/>
          <w:bdr w:val="none" w:sz="0" w:space="0" w:color="auto" w:frame="1"/>
          <w:lang w:val="en-US"/>
        </w:rPr>
        <w:t>BO</w:t>
      </w:r>
      <w:r w:rsidRPr="00B82394">
        <w:rPr>
          <w:rFonts w:ascii="Times New Roman" w:eastAsia="Times New Roman" w:hAnsi="Times New Roman"/>
          <w:sz w:val="24"/>
          <w:szCs w:val="24"/>
          <w:bdr w:val="none" w:sz="0" w:space="0" w:color="auto" w:frame="1"/>
          <w:vertAlign w:val="superscript"/>
          <w:lang w:val="en-US"/>
        </w:rPr>
        <w:t>-</w:t>
      </w:r>
      <w:r w:rsidRPr="00B82394">
        <w:rPr>
          <w:rFonts w:ascii="Times New Roman" w:eastAsia="Times New Roman" w:hAnsi="Times New Roman"/>
          <w:sz w:val="24"/>
          <w:szCs w:val="24"/>
          <w:bdr w:val="none" w:sz="0" w:space="0" w:color="auto" w:frame="1"/>
          <w:vertAlign w:val="subscript"/>
          <w:lang w:val="en-US"/>
        </w:rPr>
        <w:t>3</w:t>
      </w:r>
      <w:r w:rsidR="00373B8E" w:rsidRPr="00373B8E">
        <w:rPr>
          <w:rFonts w:ascii="Times New Roman" w:eastAsia="Times New Roman" w:hAnsi="Times New Roman"/>
          <w:sz w:val="24"/>
          <w:szCs w:val="24"/>
          <w:bdr w:val="none" w:sz="0" w:space="0" w:color="auto" w:frame="1"/>
          <w:lang w:val="en-US"/>
        </w:rPr>
        <w:t xml:space="preserve">+ </w:t>
      </w:r>
      <w:r>
        <w:rPr>
          <w:rFonts w:ascii="Times New Roman" w:eastAsia="Times New Roman" w:hAnsi="Times New Roman"/>
          <w:sz w:val="24"/>
          <w:szCs w:val="24"/>
          <w:bdr w:val="none" w:sz="0" w:space="0" w:color="auto" w:frame="1"/>
          <w:lang w:val="en-US"/>
        </w:rPr>
        <w:t>H</w:t>
      </w:r>
      <w:r w:rsidRPr="00B82394">
        <w:rPr>
          <w:rFonts w:ascii="Times New Roman" w:eastAsia="Times New Roman" w:hAnsi="Times New Roman"/>
          <w:sz w:val="24"/>
          <w:szCs w:val="24"/>
          <w:bdr w:val="none" w:sz="0" w:space="0" w:color="auto" w:frame="1"/>
          <w:vertAlign w:val="superscript"/>
          <w:lang w:val="en-US"/>
        </w:rPr>
        <w:t>+</w:t>
      </w:r>
      <w:r w:rsidR="00373B8E" w:rsidRPr="00373B8E">
        <w:rPr>
          <w:rFonts w:ascii="Times New Roman" w:eastAsia="Times New Roman" w:hAnsi="Times New Roman"/>
          <w:sz w:val="24"/>
          <w:szCs w:val="24"/>
          <w:bdr w:val="none" w:sz="0" w:space="0" w:color="auto" w:frame="1"/>
          <w:lang w:val="en-US"/>
        </w:rPr>
        <w:t xml:space="preserve"> ↔ </w:t>
      </w:r>
      <w:r>
        <w:rPr>
          <w:rFonts w:ascii="Times New Roman" w:eastAsia="Times New Roman" w:hAnsi="Times New Roman"/>
          <w:sz w:val="24"/>
          <w:szCs w:val="24"/>
          <w:bdr w:val="none" w:sz="0" w:space="0" w:color="auto" w:frame="1"/>
          <w:lang w:val="en-US"/>
        </w:rPr>
        <w:t>H</w:t>
      </w:r>
      <w:r w:rsidRPr="00B82394">
        <w:rPr>
          <w:rFonts w:ascii="Times New Roman" w:eastAsia="Times New Roman" w:hAnsi="Times New Roman"/>
          <w:sz w:val="24"/>
          <w:szCs w:val="24"/>
          <w:bdr w:val="none" w:sz="0" w:space="0" w:color="auto" w:frame="1"/>
          <w:vertAlign w:val="subscript"/>
          <w:lang w:val="en-US"/>
        </w:rPr>
        <w:t>3</w:t>
      </w:r>
      <w:r>
        <w:rPr>
          <w:rFonts w:ascii="Times New Roman" w:eastAsia="Times New Roman" w:hAnsi="Times New Roman"/>
          <w:sz w:val="24"/>
          <w:szCs w:val="24"/>
          <w:bdr w:val="none" w:sz="0" w:space="0" w:color="auto" w:frame="1"/>
          <w:lang w:val="en-US"/>
        </w:rPr>
        <w:t>BO</w:t>
      </w:r>
      <w:r w:rsidRPr="00B82394">
        <w:rPr>
          <w:rFonts w:ascii="Times New Roman" w:eastAsia="Times New Roman" w:hAnsi="Times New Roman"/>
          <w:sz w:val="24"/>
          <w:szCs w:val="24"/>
          <w:bdr w:val="none" w:sz="0" w:space="0" w:color="auto" w:frame="1"/>
          <w:vertAlign w:val="subscript"/>
          <w:lang w:val="en-US"/>
        </w:rPr>
        <w:t>3</w:t>
      </w:r>
      <w:r w:rsidR="00373B8E" w:rsidRPr="00373B8E">
        <w:rPr>
          <w:rFonts w:ascii="Times New Roman" w:eastAsia="Times New Roman" w:hAnsi="Times New Roman"/>
          <w:sz w:val="24"/>
          <w:szCs w:val="24"/>
          <w:bdr w:val="none" w:sz="0" w:space="0" w:color="auto" w:frame="1"/>
          <w:lang w:val="en-US"/>
        </w:rPr>
        <w:t xml:space="preserve"> </w:t>
      </w:r>
      <w:r w:rsidR="00373B8E" w:rsidRPr="00373B8E">
        <w:rPr>
          <w:rFonts w:ascii="Times New Roman" w:eastAsia="Times New Roman" w:hAnsi="Times New Roman"/>
          <w:sz w:val="24"/>
          <w:szCs w:val="24"/>
          <w:bdr w:val="none" w:sz="0" w:space="0" w:color="auto" w:frame="1"/>
          <w:lang w:val="en-US"/>
        </w:rPr>
        <w:tab/>
      </w:r>
      <w:r w:rsidR="00373B8E" w:rsidRPr="00373B8E">
        <w:rPr>
          <w:rFonts w:ascii="Times New Roman" w:eastAsia="Times New Roman" w:hAnsi="Times New Roman"/>
          <w:sz w:val="24"/>
          <w:szCs w:val="24"/>
          <w:bdr w:val="none" w:sz="0" w:space="0" w:color="auto" w:frame="1"/>
          <w:lang w:val="en-US"/>
        </w:rPr>
        <w:tab/>
      </w:r>
      <w:r w:rsidR="00373B8E" w:rsidRPr="00373B8E">
        <w:rPr>
          <w:rFonts w:ascii="Times New Roman" w:eastAsia="Times New Roman" w:hAnsi="Times New Roman"/>
          <w:sz w:val="24"/>
          <w:szCs w:val="24"/>
          <w:bdr w:val="none" w:sz="0" w:space="0" w:color="auto" w:frame="1"/>
          <w:lang w:val="en-US"/>
        </w:rPr>
        <w:tab/>
        <w:t>(instantaneous)</w:t>
      </w:r>
      <w:r w:rsidR="00373B8E" w:rsidRPr="00373B8E">
        <w:rPr>
          <w:rFonts w:ascii="Times New Roman" w:eastAsia="Times New Roman" w:hAnsi="Times New Roman"/>
          <w:sz w:val="24"/>
          <w:szCs w:val="24"/>
          <w:bdr w:val="none" w:sz="0" w:space="0" w:color="auto" w:frame="1"/>
          <w:lang w:val="en-US"/>
        </w:rPr>
        <w:tab/>
      </w:r>
      <w:r w:rsidR="00373B8E" w:rsidRPr="00373B8E">
        <w:rPr>
          <w:rFonts w:ascii="Times New Roman" w:eastAsia="Times New Roman" w:hAnsi="Times New Roman"/>
          <w:sz w:val="24"/>
          <w:szCs w:val="24"/>
          <w:bdr w:val="none" w:sz="0" w:space="0" w:color="auto" w:frame="1"/>
          <w:lang w:val="en-US"/>
        </w:rPr>
        <w:tab/>
      </w:r>
      <w:r w:rsidR="00373B8E" w:rsidRPr="00373B8E">
        <w:rPr>
          <w:rFonts w:ascii="Times New Roman" w:eastAsia="Times New Roman" w:hAnsi="Times New Roman"/>
          <w:sz w:val="24"/>
          <w:szCs w:val="24"/>
          <w:bdr w:val="none" w:sz="0" w:space="0" w:color="auto" w:frame="1"/>
          <w:lang w:val="en-US"/>
        </w:rPr>
        <w:tab/>
      </w:r>
      <w:r w:rsidR="00373B8E" w:rsidRPr="00373B8E">
        <w:rPr>
          <w:rFonts w:ascii="Times New Roman" w:eastAsia="Times New Roman" w:hAnsi="Times New Roman"/>
          <w:sz w:val="24"/>
          <w:szCs w:val="24"/>
          <w:bdr w:val="none" w:sz="0" w:space="0" w:color="auto" w:frame="1"/>
          <w:lang w:val="en-US"/>
        </w:rPr>
        <w:tab/>
        <w:t>(1)</w:t>
      </w:r>
    </w:p>
    <w:p w:rsidR="00373B8E" w:rsidRPr="00373B8E" w:rsidRDefault="00B82394" w:rsidP="00951C1B">
      <w:pPr>
        <w:spacing w:after="0" w:line="360" w:lineRule="auto"/>
        <w:rPr>
          <w:rFonts w:ascii="Times New Roman" w:eastAsia="Times New Roman" w:hAnsi="Times New Roman"/>
          <w:spacing w:val="2"/>
          <w:sz w:val="24"/>
          <w:szCs w:val="24"/>
          <w:lang w:val="en-US"/>
        </w:rPr>
      </w:pPr>
      <w:r>
        <w:rPr>
          <w:rFonts w:ascii="Times New Roman" w:eastAsia="Times New Roman" w:hAnsi="Times New Roman"/>
          <w:sz w:val="24"/>
          <w:szCs w:val="24"/>
          <w:bdr w:val="none" w:sz="0" w:space="0" w:color="auto" w:frame="1"/>
          <w:lang w:val="en-US"/>
        </w:rPr>
        <w:t>IO</w:t>
      </w:r>
      <w:r w:rsidRPr="00B82394">
        <w:rPr>
          <w:rFonts w:ascii="Times New Roman" w:eastAsia="Times New Roman" w:hAnsi="Times New Roman"/>
          <w:sz w:val="24"/>
          <w:szCs w:val="24"/>
          <w:bdr w:val="none" w:sz="0" w:space="0" w:color="auto" w:frame="1"/>
          <w:vertAlign w:val="superscript"/>
          <w:lang w:val="en-US"/>
        </w:rPr>
        <w:t>-</w:t>
      </w:r>
      <w:r w:rsidRPr="00B82394">
        <w:rPr>
          <w:rFonts w:ascii="Times New Roman" w:eastAsia="Times New Roman" w:hAnsi="Times New Roman"/>
          <w:sz w:val="24"/>
          <w:szCs w:val="24"/>
          <w:bdr w:val="none" w:sz="0" w:space="0" w:color="auto" w:frame="1"/>
          <w:vertAlign w:val="subscript"/>
          <w:lang w:val="en-US"/>
        </w:rPr>
        <w:t>3</w:t>
      </w:r>
      <w:r w:rsidR="00373B8E" w:rsidRPr="00373B8E">
        <w:rPr>
          <w:rFonts w:ascii="Times New Roman" w:eastAsia="Times New Roman" w:hAnsi="Times New Roman"/>
          <w:sz w:val="24"/>
          <w:szCs w:val="24"/>
          <w:bdr w:val="none" w:sz="0" w:space="0" w:color="auto" w:frame="1"/>
          <w:lang w:val="en-US"/>
        </w:rPr>
        <w:t>+ 5</w:t>
      </w:r>
      <w:r>
        <w:rPr>
          <w:rFonts w:ascii="Times New Roman" w:eastAsia="Times New Roman" w:hAnsi="Times New Roman"/>
          <w:sz w:val="24"/>
          <w:szCs w:val="24"/>
          <w:bdr w:val="none" w:sz="0" w:space="0" w:color="auto" w:frame="1"/>
          <w:lang w:val="en-US"/>
        </w:rPr>
        <w:t>I</w:t>
      </w:r>
      <w:r w:rsidRPr="00B82394">
        <w:rPr>
          <w:rFonts w:ascii="Times New Roman" w:eastAsia="Times New Roman" w:hAnsi="Times New Roman"/>
          <w:sz w:val="24"/>
          <w:szCs w:val="24"/>
          <w:bdr w:val="none" w:sz="0" w:space="0" w:color="auto" w:frame="1"/>
          <w:vertAlign w:val="superscript"/>
          <w:lang w:val="en-US"/>
        </w:rPr>
        <w:t>-</w:t>
      </w:r>
      <w:r w:rsidR="00373B8E" w:rsidRPr="00373B8E">
        <w:rPr>
          <w:rFonts w:ascii="Times New Roman" w:eastAsia="Times New Roman" w:hAnsi="Times New Roman"/>
          <w:sz w:val="24"/>
          <w:szCs w:val="24"/>
          <w:bdr w:val="none" w:sz="0" w:space="0" w:color="auto" w:frame="1"/>
          <w:lang w:val="en-US"/>
        </w:rPr>
        <w:t xml:space="preserve"> + 6</w:t>
      </w:r>
      <w:r>
        <w:rPr>
          <w:rFonts w:ascii="Times New Roman" w:eastAsia="Times New Roman" w:hAnsi="Times New Roman"/>
          <w:sz w:val="24"/>
          <w:szCs w:val="24"/>
          <w:bdr w:val="none" w:sz="0" w:space="0" w:color="auto" w:frame="1"/>
          <w:lang w:val="en-US"/>
        </w:rPr>
        <w:t>H</w:t>
      </w:r>
      <w:r w:rsidRPr="00B82394">
        <w:rPr>
          <w:rFonts w:ascii="Times New Roman" w:eastAsia="Times New Roman" w:hAnsi="Times New Roman"/>
          <w:sz w:val="24"/>
          <w:szCs w:val="24"/>
          <w:bdr w:val="none" w:sz="0" w:space="0" w:color="auto" w:frame="1"/>
          <w:vertAlign w:val="superscript"/>
          <w:lang w:val="en-US"/>
        </w:rPr>
        <w:t>+</w:t>
      </w:r>
      <w:r w:rsidR="00373B8E" w:rsidRPr="00373B8E">
        <w:rPr>
          <w:rFonts w:ascii="Times New Roman" w:eastAsia="Times New Roman" w:hAnsi="Times New Roman"/>
          <w:sz w:val="24"/>
          <w:szCs w:val="24"/>
          <w:bdr w:val="none" w:sz="0" w:space="0" w:color="auto" w:frame="1"/>
          <w:lang w:val="en-US"/>
        </w:rPr>
        <w:t xml:space="preserve"> ↔ 3</w:t>
      </w:r>
      <w:r>
        <w:rPr>
          <w:rFonts w:ascii="Times New Roman" w:eastAsia="Times New Roman" w:hAnsi="Times New Roman"/>
          <w:sz w:val="24"/>
          <w:szCs w:val="24"/>
          <w:bdr w:val="none" w:sz="0" w:space="0" w:color="auto" w:frame="1"/>
          <w:lang w:val="en-US"/>
        </w:rPr>
        <w:t>I</w:t>
      </w:r>
      <w:r w:rsidRPr="00B82394">
        <w:rPr>
          <w:rFonts w:ascii="Times New Roman" w:eastAsia="Times New Roman" w:hAnsi="Times New Roman"/>
          <w:sz w:val="24"/>
          <w:szCs w:val="24"/>
          <w:bdr w:val="none" w:sz="0" w:space="0" w:color="auto" w:frame="1"/>
          <w:vertAlign w:val="subscript"/>
          <w:lang w:val="en-US"/>
        </w:rPr>
        <w:t>2</w:t>
      </w:r>
      <w:r w:rsidR="00373B8E" w:rsidRPr="00373B8E">
        <w:rPr>
          <w:rFonts w:ascii="Times New Roman" w:eastAsia="Times New Roman" w:hAnsi="Times New Roman"/>
          <w:sz w:val="24"/>
          <w:szCs w:val="24"/>
          <w:bdr w:val="none" w:sz="0" w:space="0" w:color="auto" w:frame="1"/>
          <w:lang w:val="en-US"/>
        </w:rPr>
        <w:t xml:space="preserve"> + 3</w:t>
      </w:r>
      <w:r>
        <w:rPr>
          <w:rFonts w:ascii="Times New Roman" w:eastAsia="Times New Roman" w:hAnsi="Times New Roman"/>
          <w:sz w:val="24"/>
          <w:szCs w:val="24"/>
          <w:bdr w:val="none" w:sz="0" w:space="0" w:color="auto" w:frame="1"/>
          <w:lang w:val="en-US"/>
        </w:rPr>
        <w:t>H</w:t>
      </w:r>
      <w:r w:rsidRPr="00B82394">
        <w:rPr>
          <w:rFonts w:ascii="Times New Roman" w:eastAsia="Times New Roman" w:hAnsi="Times New Roman"/>
          <w:sz w:val="24"/>
          <w:szCs w:val="24"/>
          <w:bdr w:val="none" w:sz="0" w:space="0" w:color="auto" w:frame="1"/>
          <w:vertAlign w:val="subscript"/>
          <w:lang w:val="en-US"/>
        </w:rPr>
        <w:t>2</w:t>
      </w:r>
      <w:r w:rsidRPr="00B82394">
        <w:rPr>
          <w:rFonts w:ascii="Times New Roman" w:eastAsia="Times New Roman" w:hAnsi="Times New Roman"/>
          <w:sz w:val="24"/>
          <w:szCs w:val="24"/>
          <w:bdr w:val="none" w:sz="0" w:space="0" w:color="auto" w:frame="1"/>
          <w:lang w:val="en-US"/>
        </w:rPr>
        <w:t>O</w:t>
      </w:r>
      <w:r w:rsidR="00373B8E" w:rsidRPr="00373B8E">
        <w:rPr>
          <w:rFonts w:ascii="Times New Roman" w:eastAsia="Times New Roman" w:hAnsi="Times New Roman"/>
          <w:sz w:val="24"/>
          <w:szCs w:val="24"/>
          <w:bdr w:val="none" w:sz="0" w:space="0" w:color="auto" w:frame="1"/>
          <w:lang w:val="en-US"/>
        </w:rPr>
        <w:t xml:space="preserve"> </w:t>
      </w:r>
      <w:r w:rsidR="00373B8E" w:rsidRPr="00373B8E">
        <w:rPr>
          <w:rFonts w:ascii="Times New Roman" w:eastAsia="Times New Roman" w:hAnsi="Times New Roman"/>
          <w:sz w:val="24"/>
          <w:szCs w:val="24"/>
          <w:bdr w:val="none" w:sz="0" w:space="0" w:color="auto" w:frame="1"/>
          <w:lang w:val="en-US"/>
        </w:rPr>
        <w:tab/>
      </w:r>
      <w:r w:rsidR="00373B8E" w:rsidRPr="00373B8E">
        <w:rPr>
          <w:rFonts w:ascii="Times New Roman" w:eastAsia="Times New Roman" w:hAnsi="Times New Roman"/>
          <w:sz w:val="24"/>
          <w:szCs w:val="24"/>
          <w:bdr w:val="none" w:sz="0" w:space="0" w:color="auto" w:frame="1"/>
          <w:lang w:val="en-US"/>
        </w:rPr>
        <w:tab/>
        <w:t>(just fast)</w:t>
      </w:r>
      <w:r w:rsidR="00373B8E" w:rsidRPr="00373B8E">
        <w:rPr>
          <w:rFonts w:ascii="Times New Roman" w:eastAsia="Times New Roman" w:hAnsi="Times New Roman"/>
          <w:sz w:val="24"/>
          <w:szCs w:val="24"/>
          <w:bdr w:val="none" w:sz="0" w:space="0" w:color="auto" w:frame="1"/>
          <w:lang w:val="en-US"/>
        </w:rPr>
        <w:tab/>
      </w:r>
      <w:r w:rsidR="00373B8E" w:rsidRPr="00373B8E">
        <w:rPr>
          <w:rFonts w:ascii="Times New Roman" w:eastAsia="Times New Roman" w:hAnsi="Times New Roman"/>
          <w:sz w:val="24"/>
          <w:szCs w:val="24"/>
          <w:bdr w:val="none" w:sz="0" w:space="0" w:color="auto" w:frame="1"/>
          <w:lang w:val="en-US"/>
        </w:rPr>
        <w:tab/>
      </w:r>
      <w:r w:rsidR="00373B8E" w:rsidRPr="00373B8E">
        <w:rPr>
          <w:rFonts w:ascii="Times New Roman" w:eastAsia="Times New Roman" w:hAnsi="Times New Roman"/>
          <w:sz w:val="24"/>
          <w:szCs w:val="24"/>
          <w:bdr w:val="none" w:sz="0" w:space="0" w:color="auto" w:frame="1"/>
          <w:lang w:val="en-US"/>
        </w:rPr>
        <w:tab/>
      </w:r>
      <w:r w:rsidR="00373B8E" w:rsidRPr="00373B8E">
        <w:rPr>
          <w:rFonts w:ascii="Times New Roman" w:eastAsia="Times New Roman" w:hAnsi="Times New Roman"/>
          <w:sz w:val="24"/>
          <w:szCs w:val="24"/>
          <w:bdr w:val="none" w:sz="0" w:space="0" w:color="auto" w:frame="1"/>
          <w:lang w:val="en-US"/>
        </w:rPr>
        <w:tab/>
      </w:r>
      <w:r w:rsidR="00373B8E" w:rsidRPr="00373B8E">
        <w:rPr>
          <w:rFonts w:ascii="Times New Roman" w:eastAsia="Times New Roman" w:hAnsi="Times New Roman"/>
          <w:sz w:val="24"/>
          <w:szCs w:val="24"/>
          <w:bdr w:val="none" w:sz="0" w:space="0" w:color="auto" w:frame="1"/>
          <w:lang w:val="en-US"/>
        </w:rPr>
        <w:tab/>
        <w:t>(2)</w:t>
      </w:r>
    </w:p>
    <w:p w:rsidR="00373B8E" w:rsidRPr="00373B8E" w:rsidRDefault="00B82394" w:rsidP="00951C1B">
      <w:pPr>
        <w:spacing w:after="0" w:line="360" w:lineRule="auto"/>
        <w:rPr>
          <w:rFonts w:ascii="Times New Roman" w:eastAsia="Times New Roman" w:hAnsi="Times New Roman"/>
          <w:sz w:val="24"/>
          <w:szCs w:val="24"/>
          <w:bdr w:val="none" w:sz="0" w:space="0" w:color="auto" w:frame="1"/>
          <w:lang w:val="en-US"/>
        </w:rPr>
      </w:pPr>
      <w:r>
        <w:rPr>
          <w:rFonts w:ascii="Times New Roman" w:eastAsia="Times New Roman" w:hAnsi="Times New Roman"/>
          <w:sz w:val="24"/>
          <w:szCs w:val="24"/>
          <w:bdr w:val="none" w:sz="0" w:space="0" w:color="auto" w:frame="1"/>
          <w:lang w:val="en-US"/>
        </w:rPr>
        <w:t>I</w:t>
      </w:r>
      <w:r w:rsidRPr="00B82394">
        <w:rPr>
          <w:rFonts w:ascii="Times New Roman" w:eastAsia="Times New Roman" w:hAnsi="Times New Roman"/>
          <w:sz w:val="24"/>
          <w:szCs w:val="24"/>
          <w:bdr w:val="none" w:sz="0" w:space="0" w:color="auto" w:frame="1"/>
          <w:vertAlign w:val="subscript"/>
          <w:lang w:val="en-US"/>
        </w:rPr>
        <w:t>2</w:t>
      </w:r>
      <w:r>
        <w:rPr>
          <w:rFonts w:ascii="Times New Roman" w:eastAsia="Times New Roman" w:hAnsi="Times New Roman"/>
          <w:sz w:val="24"/>
          <w:szCs w:val="24"/>
          <w:bdr w:val="none" w:sz="0" w:space="0" w:color="auto" w:frame="1"/>
          <w:lang w:val="en-US"/>
        </w:rPr>
        <w:t xml:space="preserve"> + I</w:t>
      </w:r>
      <w:r w:rsidRPr="00B82394">
        <w:rPr>
          <w:rFonts w:ascii="Times New Roman" w:eastAsia="Times New Roman" w:hAnsi="Times New Roman"/>
          <w:sz w:val="24"/>
          <w:szCs w:val="24"/>
          <w:bdr w:val="none" w:sz="0" w:space="0" w:color="auto" w:frame="1"/>
          <w:vertAlign w:val="superscript"/>
          <w:lang w:val="en-US"/>
        </w:rPr>
        <w:t>-</w:t>
      </w:r>
      <w:r>
        <w:rPr>
          <w:rFonts w:ascii="Times New Roman" w:eastAsia="Times New Roman" w:hAnsi="Times New Roman"/>
          <w:sz w:val="24"/>
          <w:szCs w:val="24"/>
          <w:bdr w:val="none" w:sz="0" w:space="0" w:color="auto" w:frame="1"/>
          <w:lang w:val="en-US"/>
        </w:rPr>
        <w:t xml:space="preserve"> ↔ I</w:t>
      </w:r>
      <w:r w:rsidRPr="00B82394">
        <w:rPr>
          <w:rFonts w:ascii="Times New Roman" w:eastAsia="Times New Roman" w:hAnsi="Times New Roman"/>
          <w:sz w:val="24"/>
          <w:szCs w:val="24"/>
          <w:bdr w:val="none" w:sz="0" w:space="0" w:color="auto" w:frame="1"/>
          <w:vertAlign w:val="superscript"/>
          <w:lang w:val="en-US"/>
        </w:rPr>
        <w:t>-</w:t>
      </w:r>
      <w:r w:rsidRPr="00B82394">
        <w:rPr>
          <w:rFonts w:ascii="Times New Roman" w:eastAsia="Times New Roman" w:hAnsi="Times New Roman"/>
          <w:sz w:val="24"/>
          <w:szCs w:val="24"/>
          <w:bdr w:val="none" w:sz="0" w:space="0" w:color="auto" w:frame="1"/>
          <w:vertAlign w:val="subscript"/>
          <w:lang w:val="en-US"/>
        </w:rPr>
        <w:t>3</w:t>
      </w:r>
      <w:r w:rsidR="00373B8E" w:rsidRPr="00373B8E">
        <w:rPr>
          <w:rFonts w:ascii="Times New Roman" w:eastAsia="Times New Roman" w:hAnsi="Times New Roman"/>
          <w:sz w:val="24"/>
          <w:szCs w:val="24"/>
          <w:bdr w:val="none" w:sz="0" w:space="0" w:color="auto" w:frame="1"/>
          <w:lang w:val="en-US"/>
        </w:rPr>
        <w:t xml:space="preserve">  </w:t>
      </w:r>
      <w:r w:rsidR="00373B8E" w:rsidRPr="00373B8E">
        <w:rPr>
          <w:rFonts w:ascii="Times New Roman" w:eastAsia="Times New Roman" w:hAnsi="Times New Roman"/>
          <w:sz w:val="24"/>
          <w:szCs w:val="24"/>
          <w:bdr w:val="none" w:sz="0" w:space="0" w:color="auto" w:frame="1"/>
          <w:lang w:val="en-US"/>
        </w:rPr>
        <w:tab/>
      </w:r>
      <w:r w:rsidR="00373B8E" w:rsidRPr="00373B8E">
        <w:rPr>
          <w:rFonts w:ascii="Times New Roman" w:eastAsia="Times New Roman" w:hAnsi="Times New Roman"/>
          <w:sz w:val="24"/>
          <w:szCs w:val="24"/>
          <w:bdr w:val="none" w:sz="0" w:space="0" w:color="auto" w:frame="1"/>
          <w:lang w:val="en-US"/>
        </w:rPr>
        <w:tab/>
      </w:r>
      <w:r w:rsidR="00373B8E" w:rsidRPr="00373B8E">
        <w:rPr>
          <w:rFonts w:ascii="Times New Roman" w:eastAsia="Times New Roman" w:hAnsi="Times New Roman"/>
          <w:sz w:val="24"/>
          <w:szCs w:val="24"/>
          <w:bdr w:val="none" w:sz="0" w:space="0" w:color="auto" w:frame="1"/>
          <w:lang w:val="en-US"/>
        </w:rPr>
        <w:tab/>
      </w:r>
      <w:r w:rsidR="00373B8E" w:rsidRPr="00373B8E">
        <w:rPr>
          <w:rFonts w:ascii="Times New Roman" w:eastAsia="Times New Roman" w:hAnsi="Times New Roman"/>
          <w:sz w:val="24"/>
          <w:szCs w:val="24"/>
          <w:bdr w:val="none" w:sz="0" w:space="0" w:color="auto" w:frame="1"/>
          <w:lang w:val="en-US"/>
        </w:rPr>
        <w:tab/>
      </w:r>
      <w:r w:rsidR="00373B8E" w:rsidRPr="00373B8E">
        <w:rPr>
          <w:rFonts w:ascii="Times New Roman" w:eastAsia="Times New Roman" w:hAnsi="Times New Roman"/>
          <w:sz w:val="24"/>
          <w:szCs w:val="24"/>
          <w:bdr w:val="none" w:sz="0" w:space="0" w:color="auto" w:frame="1"/>
          <w:lang w:val="en-US"/>
        </w:rPr>
        <w:tab/>
      </w:r>
      <w:r w:rsidR="00373B8E" w:rsidRPr="00373B8E">
        <w:rPr>
          <w:rFonts w:ascii="Times New Roman" w:eastAsia="Times New Roman" w:hAnsi="Times New Roman"/>
          <w:sz w:val="24"/>
          <w:szCs w:val="24"/>
          <w:bdr w:val="none" w:sz="0" w:space="0" w:color="auto" w:frame="1"/>
          <w:lang w:val="en-US"/>
        </w:rPr>
        <w:tab/>
      </w:r>
      <w:r w:rsidR="00373B8E" w:rsidRPr="00373B8E">
        <w:rPr>
          <w:rFonts w:ascii="Times New Roman" w:eastAsia="Times New Roman" w:hAnsi="Times New Roman"/>
          <w:sz w:val="24"/>
          <w:szCs w:val="24"/>
          <w:bdr w:val="none" w:sz="0" w:space="0" w:color="auto" w:frame="1"/>
          <w:lang w:val="en-US"/>
        </w:rPr>
        <w:tab/>
      </w:r>
      <w:r w:rsidR="00373B8E" w:rsidRPr="00373B8E">
        <w:rPr>
          <w:rFonts w:ascii="Times New Roman" w:eastAsia="Times New Roman" w:hAnsi="Times New Roman"/>
          <w:sz w:val="24"/>
          <w:szCs w:val="24"/>
          <w:bdr w:val="none" w:sz="0" w:space="0" w:color="auto" w:frame="1"/>
          <w:lang w:val="en-US"/>
        </w:rPr>
        <w:tab/>
      </w:r>
      <w:r w:rsidR="00373B8E" w:rsidRPr="00373B8E">
        <w:rPr>
          <w:rFonts w:ascii="Times New Roman" w:eastAsia="Times New Roman" w:hAnsi="Times New Roman"/>
          <w:sz w:val="24"/>
          <w:szCs w:val="24"/>
          <w:bdr w:val="none" w:sz="0" w:space="0" w:color="auto" w:frame="1"/>
          <w:lang w:val="en-US"/>
        </w:rPr>
        <w:tab/>
      </w:r>
      <w:r w:rsidR="00373B8E" w:rsidRPr="00373B8E">
        <w:rPr>
          <w:rFonts w:ascii="Times New Roman" w:eastAsia="Times New Roman" w:hAnsi="Times New Roman"/>
          <w:sz w:val="24"/>
          <w:szCs w:val="24"/>
          <w:bdr w:val="none" w:sz="0" w:space="0" w:color="auto" w:frame="1"/>
          <w:lang w:val="en-US"/>
        </w:rPr>
        <w:tab/>
      </w:r>
      <w:r w:rsidR="00373B8E" w:rsidRPr="00373B8E">
        <w:rPr>
          <w:rFonts w:ascii="Times New Roman" w:eastAsia="Times New Roman" w:hAnsi="Times New Roman"/>
          <w:sz w:val="24"/>
          <w:szCs w:val="24"/>
          <w:bdr w:val="none" w:sz="0" w:space="0" w:color="auto" w:frame="1"/>
          <w:lang w:val="en-US"/>
        </w:rPr>
        <w:tab/>
        <w:t>(3)</w:t>
      </w:r>
    </w:p>
    <w:p w:rsidR="00373B8E" w:rsidRPr="00373B8E" w:rsidRDefault="00373B8E" w:rsidP="00951C1B">
      <w:pPr>
        <w:spacing w:after="0" w:line="360" w:lineRule="auto"/>
        <w:rPr>
          <w:rFonts w:ascii="Times New Roman" w:hAnsi="Times New Roman"/>
          <w:sz w:val="24"/>
          <w:szCs w:val="24"/>
          <w:lang w:val="en-US"/>
        </w:rPr>
      </w:pPr>
      <w:r w:rsidRPr="00373B8E">
        <w:rPr>
          <w:rFonts w:ascii="Times New Roman" w:hAnsi="Times New Roman"/>
          <w:sz w:val="24"/>
          <w:szCs w:val="24"/>
          <w:lang w:val="en-US"/>
        </w:rPr>
        <w:t xml:space="preserve">A strong acid is used to generate the protons in one reactant (acidic) solution while the second (buffer) solution for the mixing contains: </w:t>
      </w:r>
      <m:oMath>
        <m:sSubSup>
          <m:sSubSupPr>
            <m:ctrlPr>
              <w:rPr>
                <w:rFonts w:ascii="Cambria Math" w:eastAsia="Times New Roman" w:hAnsi="Cambria Math"/>
                <w:sz w:val="24"/>
                <w:szCs w:val="24"/>
                <w:bdr w:val="none" w:sz="0" w:space="0" w:color="auto" w:frame="1"/>
                <w:lang w:val="en-US"/>
              </w:rPr>
            </m:ctrlPr>
          </m:sSubSupPr>
          <m:e>
            <m:r>
              <m:rPr>
                <m:sty m:val="p"/>
              </m:rPr>
              <w:rPr>
                <w:rFonts w:ascii="Cambria Math" w:eastAsia="Times New Roman" w:hAnsi="Cambria Math"/>
                <w:sz w:val="24"/>
                <w:szCs w:val="24"/>
                <w:bdr w:val="none" w:sz="0" w:space="0" w:color="auto" w:frame="1"/>
                <w:lang w:val="en-US"/>
              </w:rPr>
              <m:t>IO</m:t>
            </m:r>
          </m:e>
          <m:sub>
            <m:r>
              <m:rPr>
                <m:sty m:val="p"/>
              </m:rPr>
              <w:rPr>
                <w:rFonts w:ascii="Cambria Math" w:eastAsia="Times New Roman" w:hAnsi="Cambria Math"/>
                <w:sz w:val="24"/>
                <w:szCs w:val="24"/>
                <w:bdr w:val="none" w:sz="0" w:space="0" w:color="auto" w:frame="1"/>
                <w:lang w:val="en-US"/>
              </w:rPr>
              <m:t>3</m:t>
            </m:r>
          </m:sub>
          <m:sup>
            <m:r>
              <m:rPr>
                <m:sty m:val="p"/>
              </m:rPr>
              <w:rPr>
                <w:rFonts w:ascii="Cambria Math" w:eastAsia="Times New Roman" w:hAnsi="Cambria Math"/>
                <w:sz w:val="24"/>
                <w:szCs w:val="24"/>
                <w:bdr w:val="none" w:sz="0" w:space="0" w:color="auto" w:frame="1"/>
                <w:lang w:val="en-US"/>
              </w:rPr>
              <m:t>-</m:t>
            </m:r>
          </m:sup>
        </m:sSubSup>
      </m:oMath>
      <w:r w:rsidRPr="00373B8E">
        <w:rPr>
          <w:rFonts w:ascii="Times New Roman" w:eastAsia="Times New Roman" w:hAnsi="Times New Roman"/>
          <w:sz w:val="24"/>
          <w:szCs w:val="24"/>
          <w:bdr w:val="none" w:sz="0" w:space="0" w:color="auto" w:frame="1"/>
          <w:lang w:val="en-US"/>
        </w:rPr>
        <w:t xml:space="preserve">, </w:t>
      </w:r>
      <m:oMath>
        <m:sSup>
          <m:sSupPr>
            <m:ctrlPr>
              <w:rPr>
                <w:rFonts w:ascii="Cambria Math" w:eastAsia="Times New Roman" w:hAnsi="Cambria Math"/>
                <w:sz w:val="24"/>
                <w:szCs w:val="24"/>
                <w:bdr w:val="none" w:sz="0" w:space="0" w:color="auto" w:frame="1"/>
                <w:lang w:val="en-US"/>
              </w:rPr>
            </m:ctrlPr>
          </m:sSupPr>
          <m:e>
            <m:r>
              <m:rPr>
                <m:sty m:val="p"/>
              </m:rPr>
              <w:rPr>
                <w:rFonts w:ascii="Cambria Math" w:eastAsia="Times New Roman" w:hAnsi="Cambria Math"/>
                <w:sz w:val="24"/>
                <w:szCs w:val="24"/>
                <w:bdr w:val="none" w:sz="0" w:space="0" w:color="auto" w:frame="1"/>
                <w:lang w:val="en-US"/>
              </w:rPr>
              <m:t>I</m:t>
            </m:r>
          </m:e>
          <m:sup>
            <m:r>
              <m:rPr>
                <m:sty m:val="p"/>
              </m:rPr>
              <w:rPr>
                <w:rFonts w:ascii="Cambria Math" w:eastAsia="Times New Roman" w:hAnsi="Cambria Math"/>
                <w:sz w:val="24"/>
                <w:szCs w:val="24"/>
                <w:bdr w:val="none" w:sz="0" w:space="0" w:color="auto" w:frame="1"/>
                <w:lang w:val="en-US"/>
              </w:rPr>
              <m:t>-</m:t>
            </m:r>
          </m:sup>
        </m:sSup>
      </m:oMath>
      <w:r w:rsidRPr="00373B8E">
        <w:rPr>
          <w:rFonts w:ascii="Times New Roman" w:eastAsia="Times New Roman" w:hAnsi="Times New Roman"/>
          <w:sz w:val="24"/>
          <w:szCs w:val="24"/>
          <w:bdr w:val="none" w:sz="0" w:space="0" w:color="auto" w:frame="1"/>
          <w:lang w:val="en-US"/>
        </w:rPr>
        <w:t xml:space="preserve"> and </w:t>
      </w:r>
      <m:oMath>
        <m:sSub>
          <m:sSubPr>
            <m:ctrlPr>
              <w:rPr>
                <w:rFonts w:ascii="Cambria Math" w:eastAsia="Times New Roman" w:hAnsi="Cambria Math"/>
                <w:sz w:val="24"/>
                <w:szCs w:val="24"/>
                <w:bdr w:val="none" w:sz="0" w:space="0" w:color="auto" w:frame="1"/>
                <w:lang w:val="en-US"/>
              </w:rPr>
            </m:ctrlPr>
          </m:sSubPr>
          <m:e>
            <m:r>
              <m:rPr>
                <m:sty m:val="p"/>
              </m:rPr>
              <w:rPr>
                <w:rFonts w:ascii="Cambria Math" w:eastAsia="Times New Roman" w:hAnsi="Cambria Math"/>
                <w:sz w:val="24"/>
                <w:szCs w:val="24"/>
                <w:bdr w:val="none" w:sz="0" w:space="0" w:color="auto" w:frame="1"/>
                <w:lang w:val="en-US"/>
              </w:rPr>
              <m:t>H</m:t>
            </m:r>
          </m:e>
          <m:sub>
            <m:r>
              <m:rPr>
                <m:sty m:val="p"/>
              </m:rPr>
              <w:rPr>
                <w:rFonts w:ascii="Cambria Math" w:eastAsia="Times New Roman" w:hAnsi="Cambria Math"/>
                <w:sz w:val="24"/>
                <w:szCs w:val="24"/>
                <w:bdr w:val="none" w:sz="0" w:space="0" w:color="auto" w:frame="1"/>
                <w:lang w:val="en-US"/>
              </w:rPr>
              <m:t>2</m:t>
            </m:r>
          </m:sub>
        </m:sSub>
        <m:sSubSup>
          <m:sSubSupPr>
            <m:ctrlPr>
              <w:rPr>
                <w:rFonts w:ascii="Cambria Math" w:eastAsia="Times New Roman" w:hAnsi="Cambria Math"/>
                <w:sz w:val="24"/>
                <w:szCs w:val="24"/>
                <w:bdr w:val="none" w:sz="0" w:space="0" w:color="auto" w:frame="1"/>
                <w:lang w:val="en-US"/>
              </w:rPr>
            </m:ctrlPr>
          </m:sSubSupPr>
          <m:e>
            <m:r>
              <m:rPr>
                <m:sty m:val="p"/>
              </m:rPr>
              <w:rPr>
                <w:rFonts w:ascii="Cambria Math" w:eastAsia="Times New Roman" w:hAnsi="Cambria Math"/>
                <w:sz w:val="24"/>
                <w:szCs w:val="24"/>
                <w:bdr w:val="none" w:sz="0" w:space="0" w:color="auto" w:frame="1"/>
                <w:lang w:val="en-US"/>
              </w:rPr>
              <m:t>BO</m:t>
            </m:r>
          </m:e>
          <m:sub>
            <m:r>
              <m:rPr>
                <m:sty m:val="p"/>
              </m:rPr>
              <w:rPr>
                <w:rFonts w:ascii="Cambria Math" w:eastAsia="Times New Roman" w:hAnsi="Cambria Math"/>
                <w:sz w:val="24"/>
                <w:szCs w:val="24"/>
                <w:bdr w:val="none" w:sz="0" w:space="0" w:color="auto" w:frame="1"/>
                <w:lang w:val="en-US"/>
              </w:rPr>
              <m:t>3</m:t>
            </m:r>
          </m:sub>
          <m:sup>
            <m:r>
              <m:rPr>
                <m:sty m:val="p"/>
              </m:rPr>
              <w:rPr>
                <w:rFonts w:ascii="Cambria Math" w:eastAsia="Times New Roman" w:hAnsi="Cambria Math"/>
                <w:sz w:val="24"/>
                <w:szCs w:val="24"/>
                <w:bdr w:val="none" w:sz="0" w:space="0" w:color="auto" w:frame="1"/>
                <w:lang w:val="en-US"/>
              </w:rPr>
              <m:t>-</m:t>
            </m:r>
          </m:sup>
        </m:sSubSup>
      </m:oMath>
      <w:r w:rsidRPr="00373B8E">
        <w:rPr>
          <w:rFonts w:ascii="Times New Roman" w:eastAsia="Times New Roman" w:hAnsi="Times New Roman"/>
          <w:sz w:val="24"/>
          <w:szCs w:val="24"/>
          <w:bdr w:val="none" w:sz="0" w:space="0" w:color="auto" w:frame="1"/>
          <w:lang w:val="en-US"/>
        </w:rPr>
        <w:t xml:space="preserve">. </w:t>
      </w:r>
      <w:r w:rsidRPr="00373B8E">
        <w:rPr>
          <w:rFonts w:ascii="Times New Roman" w:hAnsi="Times New Roman"/>
          <w:sz w:val="24"/>
          <w:szCs w:val="24"/>
          <w:lang w:val="en-US"/>
        </w:rPr>
        <w:t xml:space="preserve">Falk and Commenge </w:t>
      </w:r>
      <w:r w:rsidRPr="00373B8E">
        <w:rPr>
          <w:rFonts w:ascii="Times New Roman" w:hAnsi="Times New Roman"/>
          <w:sz w:val="24"/>
          <w:szCs w:val="24"/>
          <w:lang w:val="en-US"/>
        </w:rPr>
        <w:fldChar w:fldCharType="begin" w:fldLock="1"/>
      </w:r>
      <w:r w:rsidR="001312F9">
        <w:rPr>
          <w:rFonts w:ascii="Times New Roman" w:hAnsi="Times New Roman"/>
          <w:sz w:val="24"/>
          <w:szCs w:val="24"/>
          <w:lang w:val="en-US"/>
        </w:rPr>
        <w:instrText>ADDIN CSL_CITATION {"citationItems":[{"id":"ITEM-1","itemData":{"DOI":"10.1016/j.ces.2009.05.045","ISSN":"1","author":[{"dropping-particle":"","family":"Falk","given":"L","non-dropping-particle":"","parse-names":false,"suffix":""},{"dropping-particle":"","family":"Commenge","given":"J M","non-dropping-particle":"","parse-names":false,"suffix":""}],"container-title":"Chemical Engineering Science","id":"ITEM-1","issue":"1","issued":{"date-parts":[["2010"]]},"page":"405-411","title":"Performance comparison of micromixers","type":"article-journal","volume":"65"},"uris":["http://www.mendeley.com/documents/?uuid=fe043e11-1920-4b33-bbf6-b7ed148a326f"]}],"mendeley":{"formattedCitation":"&lt;sup&gt;6&lt;/sup&gt;","plainTextFormattedCitation":"6","previouslyFormattedCitation":"&lt;sup&gt;6&lt;/sup&gt;"},"properties":{"noteIndex":0},"schema":"https://github.com/citation-style-language/schema/raw/master/csl-citation.json"}</w:instrText>
      </w:r>
      <w:r w:rsidRPr="00373B8E">
        <w:rPr>
          <w:rFonts w:ascii="Times New Roman" w:hAnsi="Times New Roman"/>
          <w:sz w:val="24"/>
          <w:szCs w:val="24"/>
          <w:lang w:val="en-US"/>
        </w:rPr>
        <w:fldChar w:fldCharType="separate"/>
      </w:r>
      <w:r w:rsidR="005B153C" w:rsidRPr="005B153C">
        <w:rPr>
          <w:rFonts w:ascii="Times New Roman" w:hAnsi="Times New Roman"/>
          <w:noProof/>
          <w:sz w:val="24"/>
          <w:szCs w:val="24"/>
          <w:vertAlign w:val="superscript"/>
          <w:lang w:val="en-US"/>
        </w:rPr>
        <w:t>6</w:t>
      </w:r>
      <w:r w:rsidRPr="00373B8E">
        <w:rPr>
          <w:rFonts w:ascii="Times New Roman" w:hAnsi="Times New Roman"/>
          <w:sz w:val="24"/>
          <w:szCs w:val="24"/>
          <w:lang w:val="en-US"/>
        </w:rPr>
        <w:fldChar w:fldCharType="end"/>
      </w:r>
      <w:r w:rsidRPr="00373B8E">
        <w:rPr>
          <w:rFonts w:ascii="Times New Roman" w:eastAsia="Times New Roman" w:hAnsi="Times New Roman"/>
          <w:sz w:val="24"/>
          <w:szCs w:val="24"/>
          <w:lang w:val="en-US"/>
        </w:rPr>
        <w:t xml:space="preserve"> require that only critical stoichiometric amount of acid needed to neutralize the borate ions according to Eq. 1 must be used for the test, while </w:t>
      </w:r>
      <w:r w:rsidR="00F811D5">
        <w:rPr>
          <w:rFonts w:ascii="Times New Roman" w:hAnsi="Times New Roman"/>
          <w:sz w:val="24"/>
          <w:szCs w:val="24"/>
          <w:lang w:val="en-US"/>
        </w:rPr>
        <w:t>Fournier et al</w:t>
      </w:r>
      <w:r w:rsidRPr="00373B8E">
        <w:rPr>
          <w:rFonts w:ascii="Times New Roman" w:hAnsi="Times New Roman"/>
          <w:sz w:val="24"/>
          <w:szCs w:val="24"/>
          <w:lang w:val="en-US"/>
        </w:rPr>
        <w:t xml:space="preserve"> </w:t>
      </w:r>
      <w:r w:rsidRPr="00373B8E">
        <w:rPr>
          <w:rFonts w:ascii="Times New Roman" w:hAnsi="Times New Roman"/>
          <w:sz w:val="24"/>
          <w:szCs w:val="24"/>
          <w:lang w:val="en-US"/>
        </w:rPr>
        <w:fldChar w:fldCharType="begin" w:fldLock="1"/>
      </w:r>
      <w:r w:rsidR="001312F9">
        <w:rPr>
          <w:rFonts w:ascii="Times New Roman" w:hAnsi="Times New Roman"/>
          <w:sz w:val="24"/>
          <w:szCs w:val="24"/>
          <w:lang w:val="en-US"/>
        </w:rPr>
        <w:instrText>ADDIN CSL_CITATION {"citationItems":[{"id":"ITEM-1","itemData":{"DOI":"10.1016/S0009-2509(96)00340-5","ISSN":"23","author":[{"dropping-particle":"","family":"Fournier","given":"M C","non-dropping-particle":"","parse-names":false,"suffix":""},{"dropping-particle":"","family":"Falk","given":"L","non-dropping-particle":"","parse-names":false,"suffix":""},{"dropping-particle":"","family":"Villermaux","given":"J","non-dropping-particle":"","parse-names":false,"suffix":""}],"container-title":"Chemical Engineering Science","id":"ITEM-1","issue":"23","issued":{"date-parts":[["1996"]]},"page":"5187-5192","title":"A new parallel competing reaction system for assessing micromixing efficiency—Determination of micromixing time by a simple mixing model","type":"article-journal","volume":"51"},"uris":["http://www.mendeley.com/documents/?uuid=cbb1ff8b-ff8f-4bf1-ae9c-0b485a0eb1ab"]}],"mendeley":{"formattedCitation":"&lt;sup&gt;9&lt;/sup&gt;","plainTextFormattedCitation":"9","previouslyFormattedCitation":"&lt;sup&gt;9&lt;/sup&gt;"},"properties":{"noteIndex":0},"schema":"https://github.com/citation-style-language/schema/raw/master/csl-citation.json"}</w:instrText>
      </w:r>
      <w:r w:rsidRPr="00373B8E">
        <w:rPr>
          <w:rFonts w:ascii="Times New Roman" w:hAnsi="Times New Roman"/>
          <w:sz w:val="24"/>
          <w:szCs w:val="24"/>
          <w:lang w:val="en-US"/>
        </w:rPr>
        <w:fldChar w:fldCharType="separate"/>
      </w:r>
      <w:r w:rsidR="005B153C" w:rsidRPr="005B153C">
        <w:rPr>
          <w:rFonts w:ascii="Times New Roman" w:hAnsi="Times New Roman"/>
          <w:noProof/>
          <w:sz w:val="24"/>
          <w:szCs w:val="24"/>
          <w:vertAlign w:val="superscript"/>
          <w:lang w:val="en-US"/>
        </w:rPr>
        <w:t>9</w:t>
      </w:r>
      <w:r w:rsidRPr="00373B8E">
        <w:rPr>
          <w:rFonts w:ascii="Times New Roman" w:hAnsi="Times New Roman"/>
          <w:sz w:val="24"/>
          <w:szCs w:val="24"/>
          <w:lang w:val="en-US"/>
        </w:rPr>
        <w:fldChar w:fldCharType="end"/>
      </w:r>
      <w:r w:rsidRPr="00373B8E">
        <w:rPr>
          <w:rFonts w:ascii="Times New Roman" w:hAnsi="Times New Roman"/>
          <w:sz w:val="24"/>
          <w:szCs w:val="24"/>
          <w:lang w:val="en-US"/>
        </w:rPr>
        <w:t xml:space="preserve"> state that the acid should just be the limiting reagent</w:t>
      </w:r>
      <w:r w:rsidRPr="00373B8E">
        <w:rPr>
          <w:rFonts w:ascii="Times New Roman" w:eastAsia="Times New Roman" w:hAnsi="Times New Roman"/>
          <w:sz w:val="24"/>
          <w:szCs w:val="24"/>
          <w:lang w:val="en-US"/>
        </w:rPr>
        <w:t xml:space="preserve">. </w:t>
      </w:r>
      <w:r w:rsidRPr="00373B8E">
        <w:rPr>
          <w:rFonts w:ascii="Times New Roman" w:eastAsia="Times New Roman" w:hAnsi="Times New Roman"/>
          <w:iCs/>
          <w:spacing w:val="2"/>
          <w:sz w:val="24"/>
          <w:szCs w:val="24"/>
          <w:shd w:val="clear" w:color="auto" w:fill="FFFFFF"/>
          <w:lang w:val="en-US"/>
        </w:rPr>
        <w:t xml:space="preserve">The concept of the </w:t>
      </w:r>
      <w:r w:rsidRPr="00373B8E">
        <w:rPr>
          <w:rFonts w:ascii="Times New Roman" w:hAnsi="Times New Roman"/>
          <w:sz w:val="24"/>
          <w:szCs w:val="24"/>
          <w:lang w:val="en-US"/>
        </w:rPr>
        <w:t>Villermaux-Dushman protocol is briefed as follows</w:t>
      </w:r>
      <w:r w:rsidR="00F811D5">
        <w:rPr>
          <w:rFonts w:ascii="Times New Roman" w:hAnsi="Times New Roman"/>
          <w:sz w:val="24"/>
          <w:szCs w:val="24"/>
          <w:lang w:val="en-US"/>
        </w:rPr>
        <w:t>.</w:t>
      </w:r>
      <w:r w:rsidRPr="00373B8E">
        <w:rPr>
          <w:rFonts w:ascii="Times New Roman" w:hAnsi="Times New Roman"/>
          <w:sz w:val="24"/>
          <w:szCs w:val="24"/>
          <w:lang w:val="en-US"/>
        </w:rPr>
        <w:fldChar w:fldCharType="begin" w:fldLock="1"/>
      </w:r>
      <w:r w:rsidR="001312F9">
        <w:rPr>
          <w:rFonts w:ascii="Times New Roman" w:hAnsi="Times New Roman"/>
          <w:sz w:val="24"/>
          <w:szCs w:val="24"/>
          <w:lang w:val="en-US"/>
        </w:rPr>
        <w:instrText>ADDIN CSL_CITATION {"citationItems":[{"id":"ITEM-1","itemData":{"DOI":"10.1016/j.cep.2011.06.006","ISSN":"10","author":[{"dropping-particle":"","family":"Commenge","given":"Jean Marc","non-dropping-particle":"","parse-names":false,"suffix":""},{"dropping-particle":"","family":"Falk","given":"Laurent","non-dropping-particle":"","parse-names":false,"suffix":""}],"container-title":"Chemical Engineering and Processing: Process Intensification","id":"ITEM-1","issue":"10","issued":{"date-parts":[["2011"]]},"page":"979-990","title":"Villermaux–Dushman protocol for experimental characterization of micromixers","type":"article-journal","volume":"50"},"uris":["http://www.mendeley.com/documents/?uuid=e29ec2c0-86b3-4a1c-8a25-efb133b84b50"]},{"id":"ITEM-2","itemData":{"DOI":"10.1016/j.ces.2009.05.045","ISSN":"1","author":[{"dropping-particle":"","family":"Falk","given":"L","non-dropping-particle":"","parse-names":false,"suffix":""},{"dropping-particle":"","family":"Commenge","given":"J M","non-dropping-particle":"","parse-names":false,"suffix":""}],"container-title":"Chemical Engineering Science","id":"ITEM-2","issue":"1","issued":{"date-parts":[["2010"]]},"page":"405-411","title":"Performance comparison of micromixers","type":"article-journal","volume":"65"},"uris":["http://www.mendeley.com/documents/?uuid=fe043e11-1920-4b33-bbf6-b7ed148a326f"]}],"mendeley":{"formattedCitation":"&lt;sup&gt;3,6&lt;/sup&gt;","plainTextFormattedCitation":"3,6","previouslyFormattedCitation":"&lt;sup&gt;3,6&lt;/sup&gt;"},"properties":{"noteIndex":0},"schema":"https://github.com/citation-style-language/schema/raw/master/csl-citation.json"}</w:instrText>
      </w:r>
      <w:r w:rsidRPr="00373B8E">
        <w:rPr>
          <w:rFonts w:ascii="Times New Roman" w:hAnsi="Times New Roman"/>
          <w:sz w:val="24"/>
          <w:szCs w:val="24"/>
          <w:lang w:val="en-US"/>
        </w:rPr>
        <w:fldChar w:fldCharType="separate"/>
      </w:r>
      <w:r w:rsidR="005B153C" w:rsidRPr="005B153C">
        <w:rPr>
          <w:rFonts w:ascii="Times New Roman" w:hAnsi="Times New Roman"/>
          <w:noProof/>
          <w:sz w:val="24"/>
          <w:szCs w:val="24"/>
          <w:vertAlign w:val="superscript"/>
          <w:lang w:val="en-US"/>
        </w:rPr>
        <w:t>3,6</w:t>
      </w:r>
      <w:r w:rsidRPr="00373B8E">
        <w:rPr>
          <w:rFonts w:ascii="Times New Roman" w:hAnsi="Times New Roman"/>
          <w:sz w:val="24"/>
          <w:szCs w:val="24"/>
          <w:lang w:val="en-US"/>
        </w:rPr>
        <w:fldChar w:fldCharType="end"/>
      </w:r>
      <w:r w:rsidRPr="00373B8E">
        <w:rPr>
          <w:rFonts w:ascii="Times New Roman" w:hAnsi="Times New Roman"/>
          <w:sz w:val="24"/>
          <w:szCs w:val="24"/>
          <w:lang w:val="en-US"/>
        </w:rPr>
        <w:t xml:space="preserve"> When mixing is perfect, the stoichiometrically fitted instantaneous reaction (Eq. 1) completely consumes the protons, leaving no room for the slower Eq. 2 to proceed. However, when mixing is poor, there is segregation (heterogeneous fluid behavior) of the two reactant solutions into acidic and buffer segregates (local sites), making the amount of protons in every acidic segregate to be excessively high to just complete the neutralization of the borate ions in the immediate surrounding (boundary/interphase). The excess protons enable the occurrence of the redox reaction to form iodine. The extent of segregation/size of the segregates depends on the mixing efficiency/performance and that determines the amount of iodine to be produced. Eq. 3, which utilizes the iodine, is very useful for quantitative analysis because the amount of </w:t>
      </w:r>
      <m:oMath>
        <m:sSubSup>
          <m:sSubSupPr>
            <m:ctrlPr>
              <w:rPr>
                <w:rFonts w:ascii="Cambria Math" w:hAnsi="Cambria Math"/>
                <w:iCs/>
                <w:spacing w:val="2"/>
                <w:sz w:val="24"/>
                <w:szCs w:val="24"/>
                <w:shd w:val="clear" w:color="auto" w:fill="FFFFFF"/>
                <w:lang w:val="en-US"/>
              </w:rPr>
            </m:ctrlPr>
          </m:sSubSupPr>
          <m:e>
            <m:r>
              <m:rPr>
                <m:sty m:val="p"/>
              </m:rPr>
              <w:rPr>
                <w:rFonts w:ascii="Cambria Math" w:hAnsi="Cambria Math"/>
                <w:spacing w:val="2"/>
                <w:sz w:val="24"/>
                <w:szCs w:val="24"/>
                <w:shd w:val="clear" w:color="auto" w:fill="FFFFFF"/>
                <w:lang w:val="en-US"/>
              </w:rPr>
              <m:t>I</m:t>
            </m:r>
          </m:e>
          <m:sub>
            <m:r>
              <m:rPr>
                <m:sty m:val="p"/>
              </m:rPr>
              <w:rPr>
                <w:rFonts w:ascii="Cambria Math" w:hAnsi="Cambria Math"/>
                <w:spacing w:val="2"/>
                <w:sz w:val="24"/>
                <w:szCs w:val="24"/>
                <w:shd w:val="clear" w:color="auto" w:fill="FFFFFF"/>
                <w:lang w:val="en-US"/>
              </w:rPr>
              <m:t>3</m:t>
            </m:r>
          </m:sub>
          <m:sup>
            <m:r>
              <m:rPr>
                <m:sty m:val="p"/>
              </m:rPr>
              <w:rPr>
                <w:rFonts w:ascii="Cambria Math" w:hAnsi="Cambria Math"/>
                <w:spacing w:val="2"/>
                <w:sz w:val="24"/>
                <w:szCs w:val="24"/>
                <w:shd w:val="clear" w:color="auto" w:fill="FFFFFF"/>
                <w:lang w:val="en-US"/>
              </w:rPr>
              <m:t>-</m:t>
            </m:r>
          </m:sup>
        </m:sSubSup>
      </m:oMath>
      <w:r w:rsidRPr="00373B8E">
        <w:rPr>
          <w:rFonts w:ascii="Times New Roman" w:eastAsia="Times New Roman" w:hAnsi="Times New Roman"/>
          <w:iCs/>
          <w:spacing w:val="2"/>
          <w:sz w:val="24"/>
          <w:szCs w:val="24"/>
          <w:shd w:val="clear" w:color="auto" w:fill="FFFFFF"/>
          <w:lang w:val="en-US"/>
        </w:rPr>
        <w:t xml:space="preserve"> produced can be easily measured using UV spectrophotometer at a wavelength of 353 nm.</w:t>
      </w:r>
      <w:r w:rsidRPr="00373B8E">
        <w:rPr>
          <w:rFonts w:ascii="Times New Roman" w:hAnsi="Times New Roman"/>
          <w:spacing w:val="2"/>
          <w:sz w:val="24"/>
          <w:szCs w:val="24"/>
          <w:shd w:val="clear" w:color="auto" w:fill="FFFFFF"/>
          <w:lang w:val="en-US"/>
        </w:rPr>
        <w:t xml:space="preserve"> Hence, relatively low absorbance values of mixed products indicate relatively high mixing performance and vice versa. </w:t>
      </w:r>
      <w:r w:rsidRPr="00373B8E">
        <w:rPr>
          <w:rFonts w:ascii="Times New Roman" w:hAnsi="Times New Roman"/>
          <w:sz w:val="24"/>
          <w:szCs w:val="24"/>
          <w:lang w:val="en-US"/>
        </w:rPr>
        <w:t>Ehrfeld et al</w:t>
      </w:r>
      <w:r w:rsidRPr="00373B8E">
        <w:rPr>
          <w:rFonts w:ascii="Times New Roman" w:hAnsi="Times New Roman"/>
          <w:spacing w:val="2"/>
          <w:sz w:val="24"/>
          <w:szCs w:val="24"/>
          <w:shd w:val="clear" w:color="auto" w:fill="FFFFFF"/>
          <w:lang w:val="en-US"/>
        </w:rPr>
        <w:t xml:space="preserve"> </w:t>
      </w:r>
      <w:r w:rsidRPr="00373B8E">
        <w:rPr>
          <w:rFonts w:ascii="Times New Roman" w:hAnsi="Times New Roman"/>
          <w:spacing w:val="2"/>
          <w:sz w:val="24"/>
          <w:szCs w:val="24"/>
          <w:shd w:val="clear" w:color="auto" w:fill="FFFFFF"/>
          <w:lang w:val="en-US"/>
        </w:rPr>
        <w:fldChar w:fldCharType="begin" w:fldLock="1"/>
      </w:r>
      <w:r w:rsidR="001312F9">
        <w:rPr>
          <w:rFonts w:ascii="Times New Roman" w:hAnsi="Times New Roman"/>
          <w:spacing w:val="2"/>
          <w:sz w:val="24"/>
          <w:szCs w:val="24"/>
          <w:shd w:val="clear" w:color="auto" w:fill="FFFFFF"/>
          <w:lang w:val="en-US"/>
        </w:rPr>
        <w:instrText>ADDIN CSL_CITATION {"citationItems":[{"id":"ITEM-1","itemData":{"DOI":"10.1021/ie980128d","ISSN":"3","author":[{"dropping-particle":"","family":"Ehrfeld","given":"Wolfgang","non-dropping-particle":"","parse-names":false,"suffix":""},{"dropping-particle":"","family":"Golbig","given":"Klaus","non-dropping-particle":"","parse-names":false,"suffix":""},{"dropping-particle":"","family":"Hessel","given":"Volker","non-dropping-particle":"","parse-names":false,"suffix":""},{"dropping-particle":"","family":"Löwe","given":"Holger","non-dropping-particle":"","parse-names":false,"suffix":""},{"dropping-particle":"","family":"Richter","given":"Thomas","non-dropping-particle":"","parse-names":false,"suffix":""}],"container-title":"Industrial &amp; Engineering Chemistry Research","id":"ITEM-1","issue":"3","issued":{"date-parts":[["1999"]]},"page":"1075-1082","title":"Characterization of Mixing in Micromixers by a Test Reaction: Single Mixing Units and Mixer Arrays","type":"article-journal","volume":"38"},"uris":["http://www.mendeley.com/documents/?uuid=15ab2cbc-0d7c-4223-8d63-76110530bfc3"]}],"mendeley":{"formattedCitation":"&lt;sup&gt;2&lt;/sup&gt;","plainTextFormattedCitation":"2","previouslyFormattedCitation":"&lt;sup&gt;2&lt;/sup&gt;"},"properties":{"noteIndex":0},"schema":"https://github.com/citation-style-language/schema/raw/master/csl-citation.json"}</w:instrText>
      </w:r>
      <w:r w:rsidRPr="00373B8E">
        <w:rPr>
          <w:rFonts w:ascii="Times New Roman" w:hAnsi="Times New Roman"/>
          <w:spacing w:val="2"/>
          <w:sz w:val="24"/>
          <w:szCs w:val="24"/>
          <w:shd w:val="clear" w:color="auto" w:fill="FFFFFF"/>
          <w:lang w:val="en-US"/>
        </w:rPr>
        <w:fldChar w:fldCharType="separate"/>
      </w:r>
      <w:r w:rsidR="005B153C" w:rsidRPr="005B153C">
        <w:rPr>
          <w:rFonts w:ascii="Times New Roman" w:hAnsi="Times New Roman"/>
          <w:noProof/>
          <w:spacing w:val="2"/>
          <w:sz w:val="24"/>
          <w:szCs w:val="24"/>
          <w:shd w:val="clear" w:color="auto" w:fill="FFFFFF"/>
          <w:vertAlign w:val="superscript"/>
          <w:lang w:val="en-US"/>
        </w:rPr>
        <w:t>2</w:t>
      </w:r>
      <w:r w:rsidRPr="00373B8E">
        <w:rPr>
          <w:rFonts w:ascii="Times New Roman" w:hAnsi="Times New Roman"/>
          <w:spacing w:val="2"/>
          <w:sz w:val="24"/>
          <w:szCs w:val="24"/>
          <w:shd w:val="clear" w:color="auto" w:fill="FFFFFF"/>
          <w:lang w:val="en-US"/>
        </w:rPr>
        <w:fldChar w:fldCharType="end"/>
      </w:r>
      <w:r w:rsidRPr="00373B8E">
        <w:rPr>
          <w:rFonts w:ascii="Times New Roman" w:eastAsia="Times New Roman" w:hAnsi="Times New Roman"/>
          <w:iCs/>
          <w:spacing w:val="2"/>
          <w:sz w:val="24"/>
          <w:szCs w:val="24"/>
          <w:shd w:val="clear" w:color="auto" w:fill="FFFFFF"/>
          <w:lang w:val="en-US"/>
        </w:rPr>
        <w:t xml:space="preserve"> </w:t>
      </w:r>
      <w:r w:rsidRPr="00373B8E">
        <w:rPr>
          <w:rFonts w:ascii="Times New Roman" w:hAnsi="Times New Roman"/>
          <w:sz w:val="24"/>
          <w:szCs w:val="24"/>
          <w:lang w:val="en-US"/>
        </w:rPr>
        <w:t xml:space="preserve">share similar idea but they utilized acetate in place of borate species in Eq. 1. Some works </w:t>
      </w:r>
      <w:r w:rsidRPr="00373B8E">
        <w:rPr>
          <w:rFonts w:ascii="Times New Roman" w:hAnsi="Times New Roman"/>
          <w:sz w:val="24"/>
          <w:szCs w:val="24"/>
          <w:lang w:val="en-US"/>
        </w:rPr>
        <w:fldChar w:fldCharType="begin" w:fldLock="1"/>
      </w:r>
      <w:r w:rsidR="001312F9">
        <w:rPr>
          <w:rFonts w:ascii="Times New Roman" w:hAnsi="Times New Roman"/>
          <w:sz w:val="24"/>
          <w:szCs w:val="24"/>
          <w:lang w:val="en-US"/>
        </w:rPr>
        <w:instrText>ADDIN CSL_CITATION {"citationItems":[{"id":"ITEM-1","itemData":{"DOI":"10.1021/ie980128d","ISSN":"3","author":[{"dropping-particle":"","family":"Ehrfeld","given":"Wolfgang","non-dropping-particle":"","parse-names":false,"suffix":""},{"dropping-particle":"","family":"Golbig","given":"Klaus","non-dropping-particle":"","parse-names":false,"suffix":""},{"dropping-particle":"","family":"Hessel","given":"Volker","non-dropping-particle":"","parse-names":false,"suffix":""},{"dropping-particle":"","family":"Löwe","given":"Holger","non-dropping-particle":"","parse-names":false,"suffix":""},{"dropping-particle":"","family":"Richter","given":"Thomas","non-dropping-particle":"","parse-names":false,"suffix":""}],"container-title":"Industrial &amp; Engineering Chemistry Research","id":"ITEM-1","issue":"3","issued":{"date-parts":[["1999"]]},"page":"1075-1082","title":"Characterization of Mixing in Micromixers by a Test Reaction: Single Mixing Units and Mixer Arrays","type":"article-journal","volume":"38"},"uris":["http://www.mendeley.com/documents/?uuid=15ab2cbc-0d7c-4223-8d63-76110530bfc3"]},{"id":"ITEM-2","itemData":{"DOI":"10.1002/masy.200751305","ISSN":"1","author":[{"dropping-particle":"","family":"Kunowa","given":"Kathrin","non-dropping-particle":"","parse-names":false,"suffix":""},{"dropping-particle":"","family":"Schmidt‐Lehr","given":"Sebastian","non-dropping-particle":"","parse-names":false,"suffix":""},{"dropping-particle":"","family":"Pauer","given":"Werner","non-dropping-particle":"","parse-names":false,"suffix":""},{"dropping-particle":"","family":"Moritz","given":"Hans‐Ulrich","non-dropping-particle":"","parse-names":false,"suffix":""},{"dropping-particle":"","family":"Schwede","given":"Christian","non-dropping-particle":"","parse-names":false,"suffix":""}],"container-title":"Macromolecular Symposia","id":"ITEM-2","issue":"1","issued":{"date-parts":[["2007"]]},"page":"32-41","title":"Characterization of Mixing Efficiency in Polymerization Reactors Using Competitive‐Parallel Reactions","type":"article-journal","volume":"259"},"uris":["http://www.mendeley.com/documents/?uuid=440249f3-9e97-4fb8-8afc-cb03bdc5a15d"]}],"mendeley":{"formattedCitation":"&lt;sup&gt;2,10&lt;/sup&gt;","plainTextFormattedCitation":"2,10","previouslyFormattedCitation":"&lt;sup&gt;2,10&lt;/sup&gt;"},"properties":{"noteIndex":0},"schema":"https://github.com/citation-style-language/schema/raw/master/csl-citation.json"}</w:instrText>
      </w:r>
      <w:r w:rsidRPr="00373B8E">
        <w:rPr>
          <w:rFonts w:ascii="Times New Roman" w:hAnsi="Times New Roman"/>
          <w:sz w:val="24"/>
          <w:szCs w:val="24"/>
          <w:lang w:val="en-US"/>
        </w:rPr>
        <w:fldChar w:fldCharType="separate"/>
      </w:r>
      <w:r w:rsidR="005B153C" w:rsidRPr="005B153C">
        <w:rPr>
          <w:rFonts w:ascii="Times New Roman" w:hAnsi="Times New Roman"/>
          <w:noProof/>
          <w:sz w:val="24"/>
          <w:szCs w:val="24"/>
          <w:vertAlign w:val="superscript"/>
          <w:lang w:val="en-US"/>
        </w:rPr>
        <w:t>2,10</w:t>
      </w:r>
      <w:r w:rsidRPr="00373B8E">
        <w:rPr>
          <w:rFonts w:ascii="Times New Roman" w:hAnsi="Times New Roman"/>
          <w:sz w:val="24"/>
          <w:szCs w:val="24"/>
          <w:lang w:val="en-US"/>
        </w:rPr>
        <w:fldChar w:fldCharType="end"/>
      </w:r>
      <w:r w:rsidRPr="00373B8E">
        <w:rPr>
          <w:rFonts w:ascii="Times New Roman" w:hAnsi="Times New Roman"/>
          <w:sz w:val="24"/>
          <w:szCs w:val="24"/>
          <w:lang w:val="en-US"/>
        </w:rPr>
        <w:t xml:space="preserve"> are reported with product absorbance measured at 352 nm noting that the UV-spectrum has a peak at that wavelength </w:t>
      </w:r>
      <w:r w:rsidRPr="00373B8E">
        <w:rPr>
          <w:rFonts w:ascii="Times New Roman" w:hAnsi="Times New Roman"/>
          <w:sz w:val="24"/>
          <w:szCs w:val="24"/>
          <w:lang w:val="en-US"/>
        </w:rPr>
        <w:lastRenderedPageBreak/>
        <w:t xml:space="preserve">rather than at 353 nm; however, the values are quite close. Commenge and Falk </w:t>
      </w:r>
      <w:r w:rsidRPr="00373B8E">
        <w:rPr>
          <w:rFonts w:ascii="Times New Roman" w:hAnsi="Times New Roman"/>
          <w:sz w:val="24"/>
          <w:szCs w:val="24"/>
          <w:lang w:val="en-US"/>
        </w:rPr>
        <w:fldChar w:fldCharType="begin" w:fldLock="1"/>
      </w:r>
      <w:r w:rsidR="001312F9">
        <w:rPr>
          <w:rFonts w:ascii="Times New Roman" w:hAnsi="Times New Roman"/>
          <w:sz w:val="24"/>
          <w:szCs w:val="24"/>
          <w:lang w:val="en-US"/>
        </w:rPr>
        <w:instrText>ADDIN CSL_CITATION {"citationItems":[{"id":"ITEM-1","itemData":{"DOI":"10.1016/j.cep.2011.06.006","ISSN":"10","author":[{"dropping-particle":"","family":"Commenge","given":"Jean Marc","non-dropping-particle":"","parse-names":false,"suffix":""},{"dropping-particle":"","family":"Falk","given":"Laurent","non-dropping-particle":"","parse-names":false,"suffix":""}],"container-title":"Chemical Engineering and Processing: Process Intensification","id":"ITEM-1","issue":"10","issued":{"date-parts":[["2011"]]},"page":"979-990","title":"Villermaux–Dushman protocol for experimental characterization of micromixers","type":"article-journal","volume":"50"},"uris":["http://www.mendeley.com/documents/?uuid=e29ec2c0-86b3-4a1c-8a25-efb133b84b50"]}],"mendeley":{"formattedCitation":"&lt;sup&gt;3&lt;/sup&gt;","plainTextFormattedCitation":"3","previouslyFormattedCitation":"&lt;sup&gt;3&lt;/sup&gt;"},"properties":{"noteIndex":0},"schema":"https://github.com/citation-style-language/schema/raw/master/csl-citation.json"}</w:instrText>
      </w:r>
      <w:r w:rsidRPr="00373B8E">
        <w:rPr>
          <w:rFonts w:ascii="Times New Roman" w:hAnsi="Times New Roman"/>
          <w:sz w:val="24"/>
          <w:szCs w:val="24"/>
          <w:lang w:val="en-US"/>
        </w:rPr>
        <w:fldChar w:fldCharType="separate"/>
      </w:r>
      <w:r w:rsidR="005B153C" w:rsidRPr="005B153C">
        <w:rPr>
          <w:rFonts w:ascii="Times New Roman" w:hAnsi="Times New Roman"/>
          <w:noProof/>
          <w:sz w:val="24"/>
          <w:szCs w:val="24"/>
          <w:vertAlign w:val="superscript"/>
          <w:lang w:val="en-US"/>
        </w:rPr>
        <w:t>3</w:t>
      </w:r>
      <w:r w:rsidRPr="00373B8E">
        <w:rPr>
          <w:rFonts w:ascii="Times New Roman" w:hAnsi="Times New Roman"/>
          <w:sz w:val="24"/>
          <w:szCs w:val="24"/>
          <w:lang w:val="en-US"/>
        </w:rPr>
        <w:fldChar w:fldCharType="end"/>
      </w:r>
      <w:r w:rsidRPr="00373B8E">
        <w:rPr>
          <w:rFonts w:ascii="Times New Roman" w:hAnsi="Times New Roman"/>
          <w:sz w:val="24"/>
          <w:szCs w:val="24"/>
          <w:lang w:val="en-US"/>
        </w:rPr>
        <w:t xml:space="preserve"> further noted that t</w:t>
      </w:r>
      <w:r w:rsidRPr="00373B8E">
        <w:rPr>
          <w:rFonts w:ascii="Times New Roman" w:eastAsia="Times New Roman" w:hAnsi="Times New Roman"/>
          <w:sz w:val="24"/>
          <w:szCs w:val="24"/>
          <w:bdr w:val="none" w:sz="0" w:space="0" w:color="auto" w:frame="1"/>
          <w:lang w:val="en-US"/>
        </w:rPr>
        <w:t xml:space="preserve">he test yields optimum (most sensitive) result when the rates are such that: the neutralization occurs in zero seconds (quasi-instantaneous) and the redox reaction occurs at roughly the same time as the mixing time. </w:t>
      </w:r>
      <w:r w:rsidRPr="00373B8E">
        <w:rPr>
          <w:rFonts w:ascii="Times New Roman" w:hAnsi="Times New Roman"/>
          <w:sz w:val="24"/>
          <w:szCs w:val="24"/>
          <w:lang w:val="en-US"/>
        </w:rPr>
        <w:t>Villermaux-Dushman protocol is also known as the iodide/iodate test method.</w:t>
      </w:r>
    </w:p>
    <w:p w:rsidR="00373B8E" w:rsidRPr="00373B8E" w:rsidRDefault="00373B8E" w:rsidP="00951C1B">
      <w:pPr>
        <w:spacing w:after="0" w:line="360" w:lineRule="auto"/>
        <w:rPr>
          <w:rFonts w:ascii="Times New Roman" w:hAnsi="Times New Roman"/>
          <w:sz w:val="24"/>
          <w:szCs w:val="24"/>
          <w:lang w:val="en-US"/>
        </w:rPr>
      </w:pPr>
      <w:r w:rsidRPr="00373B8E">
        <w:rPr>
          <w:rFonts w:ascii="Times New Roman" w:hAnsi="Times New Roman"/>
          <w:sz w:val="24"/>
          <w:szCs w:val="24"/>
          <w:lang w:val="en-US"/>
        </w:rPr>
        <w:t>Primarily following the Villermaux-Dushman protocol, performance of a mixer at certain conditions should be assessed based on the observed absorbance value of the mixed products (the higher the absorbance, the poorer the performance and vice versa). Unfortunately, several authors</w:t>
      </w:r>
      <w:r w:rsidRPr="00373B8E">
        <w:rPr>
          <w:rFonts w:ascii="Times New Roman" w:hAnsi="Times New Roman"/>
          <w:sz w:val="24"/>
          <w:szCs w:val="24"/>
          <w:lang w:val="en-US"/>
        </w:rPr>
        <w:tab/>
        <w:t xml:space="preserve"> </w:t>
      </w:r>
      <w:r w:rsidRPr="00373B8E">
        <w:rPr>
          <w:rFonts w:ascii="Times New Roman" w:hAnsi="Times New Roman"/>
          <w:sz w:val="24"/>
          <w:szCs w:val="24"/>
          <w:lang w:val="en-US"/>
        </w:rPr>
        <w:fldChar w:fldCharType="begin" w:fldLock="1"/>
      </w:r>
      <w:r w:rsidR="001312F9">
        <w:rPr>
          <w:rFonts w:ascii="Times New Roman" w:hAnsi="Times New Roman"/>
          <w:sz w:val="24"/>
          <w:szCs w:val="24"/>
          <w:lang w:val="en-US"/>
        </w:rPr>
        <w:instrText>ADDIN CSL_CITATION {"citationItems":[{"id":"ITEM-1","itemData":{"DOI":"10.1016/j.cep.2011.06.006","ISSN":"10","author":[{"dropping-particle":"","family":"Commenge","given":"Jean Marc","non-dropping-particle":"","parse-names":false,"suffix":""},{"dropping-particle":"","family":"Falk","given":"Laurent","non-dropping-particle":"","parse-names":false,"suffix":""}],"container-title":"Chemical Engineering and Processing: Process Intensification","id":"ITEM-1","issue":"10","issued":{"date-parts":[["2011"]]},"page":"979-990","title":"Villermaux–Dushman protocol for experimental characterization of micromixers","type":"article-journal","volume":"50"},"uris":["http://www.mendeley.com/documents/?uuid=e29ec2c0-86b3-4a1c-8a25-efb133b84b50"]},{"id":"ITEM-2","itemData":{"DOI":"10.1016/j.ces.2009.05.045","ISSN":"1","author":[{"dropping-particle":"","family":"Falk","given":"L","non-dropping-particle":"","parse-names":false,"suffix":""},{"dropping-particle":"","family":"Commenge","given":"J M","non-dropping-particle":"","parse-names":false,"suffix":""}],"container-title":"Chemical Engineering Science","id":"ITEM-2","issue":"1","issued":{"date-parts":[["2010"]]},"page":"405-411","title":"Performance comparison of micromixers","type":"article-journal","volume":"65"},"uris":["http://www.mendeley.com/documents/?uuid=fe043e11-1920-4b33-bbf6-b7ed148a326f"]},{"id":"ITEM-3","itemData":{"DOI":"10.1039/c7re00051k","ISSN":"20589883","abstract":"We extensively examined the performance of microjet mixers.We extensively examined and discussed the performance of microjet mixers that consisted of two concentrically arranged tubes. The orientation of the feed streams with respect to the inner and outer inlets was the crucial factor for promoting the desired reaction. The Reynolds number after jetting and the velocity ratio of the inner and outer fluids were the key variables for promoting vigorous jetting and efficient mixing. By choosing the appropriate operating conditions, the microjet mixers exhibited excellent performance. The design protocol for microjet mixers was established based on mixing time measurements. We successfully maximized the throughput in one channel and numbered-up the microjet mixers. The microjet mixers also proved to be useful for treating viscous fluids with the appropriate choice of the feed orientation. The complete mixing of water with a 200 times more viscous fluid was achieved in 20 ms.","author":[{"dropping-particle":"","family":"Asano","given":"S.","non-dropping-particle":"","parse-names":false,"suffix":""},{"dropping-particle":"","family":"Yamada","given":"S.","non-dropping-particle":"","parse-names":false,"suffix":""},{"dropping-particle":"","family":"Maki","given":"T.","non-dropping-particle":"","parse-names":false,"suffix":""},{"dropping-particle":"","family":"Muranaka","given":"Y.","non-dropping-particle":"","parse-names":false,"suffix":""},{"dropping-particle":"","family":"Mae","given":"K.","non-dropping-particle":"","parse-names":false,"suffix":""}],"container-title":"Reaction Chemistry &amp; Engineering","id":"ITEM-3","issue":"6","issued":{"date-parts":[["2017"]]},"page":"830-841","title":"Design protocol of microjet mixers for achieving desirable mixing times with arbitrary flow rate ratios","type":"article-journal","volume":"2"},"uris":["http://www.mendeley.com/documents/?uuid=c2c3ce71-435e-4cef-8c8d-19e4b91e7f44"]}],"mendeley":{"formattedCitation":"&lt;sup&gt;3,6,11&lt;/sup&gt;","plainTextFormattedCitation":"3,6,11","previouslyFormattedCitation":"&lt;sup&gt;3,6,11&lt;/sup&gt;"},"properties":{"noteIndex":0},"schema":"https://github.com/citation-style-language/schema/raw/master/csl-citation.json"}</w:instrText>
      </w:r>
      <w:r w:rsidRPr="00373B8E">
        <w:rPr>
          <w:rFonts w:ascii="Times New Roman" w:hAnsi="Times New Roman"/>
          <w:sz w:val="24"/>
          <w:szCs w:val="24"/>
          <w:lang w:val="en-US"/>
        </w:rPr>
        <w:fldChar w:fldCharType="separate"/>
      </w:r>
      <w:r w:rsidR="005B153C" w:rsidRPr="005B153C">
        <w:rPr>
          <w:rFonts w:ascii="Times New Roman" w:hAnsi="Times New Roman"/>
          <w:noProof/>
          <w:sz w:val="24"/>
          <w:szCs w:val="24"/>
          <w:vertAlign w:val="superscript"/>
          <w:lang w:val="en-US"/>
        </w:rPr>
        <w:t>3,6,11</w:t>
      </w:r>
      <w:r w:rsidRPr="00373B8E">
        <w:rPr>
          <w:rFonts w:ascii="Times New Roman" w:hAnsi="Times New Roman"/>
          <w:sz w:val="24"/>
          <w:szCs w:val="24"/>
          <w:lang w:val="en-US"/>
        </w:rPr>
        <w:fldChar w:fldCharType="end"/>
      </w:r>
      <w:r w:rsidRPr="00373B8E">
        <w:rPr>
          <w:rFonts w:ascii="Times New Roman" w:hAnsi="Times New Roman"/>
          <w:sz w:val="24"/>
          <w:szCs w:val="24"/>
          <w:lang w:val="en-US"/>
        </w:rPr>
        <w:t xml:space="preserve"> recommend that mixing performance criterion should not be concentration dependent. Mixing time (t</w:t>
      </w:r>
      <w:r w:rsidRPr="00373B8E">
        <w:rPr>
          <w:rFonts w:ascii="Times New Roman" w:hAnsi="Times New Roman"/>
          <w:sz w:val="24"/>
          <w:szCs w:val="24"/>
          <w:vertAlign w:val="subscript"/>
          <w:lang w:val="en-US"/>
        </w:rPr>
        <w:t>m</w:t>
      </w:r>
      <w:r w:rsidRPr="00373B8E">
        <w:rPr>
          <w:rFonts w:ascii="Times New Roman" w:hAnsi="Times New Roman"/>
          <w:sz w:val="24"/>
          <w:szCs w:val="24"/>
          <w:lang w:val="en-US"/>
        </w:rPr>
        <w:t xml:space="preserve">), according to Commenge and Falk </w:t>
      </w:r>
      <w:r w:rsidRPr="00373B8E">
        <w:rPr>
          <w:rFonts w:ascii="Times New Roman" w:hAnsi="Times New Roman"/>
          <w:sz w:val="24"/>
          <w:szCs w:val="24"/>
          <w:lang w:val="en-US"/>
        </w:rPr>
        <w:fldChar w:fldCharType="begin" w:fldLock="1"/>
      </w:r>
      <w:r w:rsidR="001312F9">
        <w:rPr>
          <w:rFonts w:ascii="Times New Roman" w:hAnsi="Times New Roman"/>
          <w:sz w:val="24"/>
          <w:szCs w:val="24"/>
          <w:lang w:val="en-US"/>
        </w:rPr>
        <w:instrText>ADDIN CSL_CITATION {"citationItems":[{"id":"ITEM-1","itemData":{"DOI":"10.1016/j.cep.2011.06.006","ISSN":"10","author":[{"dropping-particle":"","family":"Commenge","given":"Jean Marc","non-dropping-particle":"","parse-names":false,"suffix":""},{"dropping-particle":"","family":"Falk","given":"Laurent","non-dropping-particle":"","parse-names":false,"suffix":""}],"container-title":"Chemical Engineering and Processing: Process Intensification","id":"ITEM-1","issue":"10","issued":{"date-parts":[["2011"]]},"page":"979-990","title":"Villermaux–Dushman protocol for experimental characterization of micromixers","type":"article-journal","volume":"50"},"uris":["http://www.mendeley.com/documents/?uuid=e29ec2c0-86b3-4a1c-8a25-efb133b84b50"]}],"mendeley":{"formattedCitation":"&lt;sup&gt;3&lt;/sup&gt;","plainTextFormattedCitation":"3","previouslyFormattedCitation":"&lt;sup&gt;3&lt;/sup&gt;"},"properties":{"noteIndex":0},"schema":"https://github.com/citation-style-language/schema/raw/master/csl-citation.json"}</w:instrText>
      </w:r>
      <w:r w:rsidRPr="00373B8E">
        <w:rPr>
          <w:rFonts w:ascii="Times New Roman" w:hAnsi="Times New Roman"/>
          <w:sz w:val="24"/>
          <w:szCs w:val="24"/>
          <w:lang w:val="en-US"/>
        </w:rPr>
        <w:fldChar w:fldCharType="separate"/>
      </w:r>
      <w:r w:rsidR="005B153C" w:rsidRPr="005B153C">
        <w:rPr>
          <w:rFonts w:ascii="Times New Roman" w:hAnsi="Times New Roman"/>
          <w:noProof/>
          <w:sz w:val="24"/>
          <w:szCs w:val="24"/>
          <w:vertAlign w:val="superscript"/>
          <w:lang w:val="en-US"/>
        </w:rPr>
        <w:t>3</w:t>
      </w:r>
      <w:r w:rsidRPr="00373B8E">
        <w:rPr>
          <w:rFonts w:ascii="Times New Roman" w:hAnsi="Times New Roman"/>
          <w:sz w:val="24"/>
          <w:szCs w:val="24"/>
          <w:lang w:val="en-US"/>
        </w:rPr>
        <w:fldChar w:fldCharType="end"/>
      </w:r>
      <w:r w:rsidRPr="00373B8E">
        <w:rPr>
          <w:rFonts w:ascii="Times New Roman" w:hAnsi="Times New Roman"/>
          <w:sz w:val="24"/>
          <w:szCs w:val="24"/>
          <w:lang w:val="en-US"/>
        </w:rPr>
        <w:t xml:space="preserve"> which ought to be adopted by Asano et al</w:t>
      </w:r>
      <w:r w:rsidR="00F811D5">
        <w:rPr>
          <w:rFonts w:ascii="Times New Roman" w:hAnsi="Times New Roman"/>
          <w:sz w:val="24"/>
          <w:szCs w:val="24"/>
          <w:lang w:val="en-US"/>
        </w:rPr>
        <w:t>,</w:t>
      </w:r>
      <w:r w:rsidRPr="00373B8E">
        <w:rPr>
          <w:rFonts w:ascii="Times New Roman" w:hAnsi="Times New Roman"/>
          <w:sz w:val="24"/>
          <w:szCs w:val="24"/>
          <w:lang w:val="en-US"/>
        </w:rPr>
        <w:fldChar w:fldCharType="begin" w:fldLock="1"/>
      </w:r>
      <w:r w:rsidR="001312F9">
        <w:rPr>
          <w:rFonts w:ascii="Times New Roman" w:hAnsi="Times New Roman"/>
          <w:sz w:val="24"/>
          <w:szCs w:val="24"/>
          <w:lang w:val="en-US"/>
        </w:rPr>
        <w:instrText>ADDIN CSL_CITATION {"citationItems":[{"id":"ITEM-1","itemData":{"DOI":"10.1039/c7re00051k","ISSN":"20589883","abstract":"We extensively examined the performance of microjet mixers.We extensively examined and discussed the performance of microjet mixers that consisted of two concentrically arranged tubes. The orientation of the feed streams with respect to the inner and outer inlets was the crucial factor for promoting the desired reaction. The Reynolds number after jetting and the velocity ratio of the inner and outer fluids were the key variables for promoting vigorous jetting and efficient mixing. By choosing the appropriate operating conditions, the microjet mixers exhibited excellent performance. The design protocol for microjet mixers was established based on mixing time measurements. We successfully maximized the throughput in one channel and numbered-up the microjet mixers. The microjet mixers also proved to be useful for treating viscous fluids with the appropriate choice of the feed orientation. The complete mixing of water with a 200 times more viscous fluid was achieved in 20 ms.","author":[{"dropping-particle":"","family":"Asano","given":"S.","non-dropping-particle":"","parse-names":false,"suffix":""},{"dropping-particle":"","family":"Yamada","given":"S.","non-dropping-particle":"","parse-names":false,"suffix":""},{"dropping-particle":"","family":"Maki","given":"T.","non-dropping-particle":"","parse-names":false,"suffix":""},{"dropping-particle":"","family":"Muranaka","given":"Y.","non-dropping-particle":"","parse-names":false,"suffix":""},{"dropping-particle":"","family":"Mae","given":"K.","non-dropping-particle":"","parse-names":false,"suffix":""}],"container-title":"Reaction Chemistry &amp; Engineering","id":"ITEM-1","issue":"6","issued":{"date-parts":[["2017"]]},"page":"830-841","title":"Design protocol of microjet mixers for achieving desirable mixing times with arbitrary flow rate ratios","type":"article-journal","volume":"2"},"uris":["http://www.mendeley.com/documents/?uuid=c2c3ce71-435e-4cef-8c8d-19e4b91e7f44"]}],"mendeley":{"formattedCitation":"&lt;sup&gt;11&lt;/sup&gt;","plainTextFormattedCitation":"11","previouslyFormattedCitation":"&lt;sup&gt;11&lt;/sup&gt;"},"properties":{"noteIndex":0},"schema":"https://github.com/citation-style-language/schema/raw/master/csl-citation.json"}</w:instrText>
      </w:r>
      <w:r w:rsidRPr="00373B8E">
        <w:rPr>
          <w:rFonts w:ascii="Times New Roman" w:hAnsi="Times New Roman"/>
          <w:sz w:val="24"/>
          <w:szCs w:val="24"/>
          <w:lang w:val="en-US"/>
        </w:rPr>
        <w:fldChar w:fldCharType="separate"/>
      </w:r>
      <w:r w:rsidR="005B153C" w:rsidRPr="005B153C">
        <w:rPr>
          <w:rFonts w:ascii="Times New Roman" w:hAnsi="Times New Roman"/>
          <w:noProof/>
          <w:sz w:val="24"/>
          <w:szCs w:val="24"/>
          <w:vertAlign w:val="superscript"/>
          <w:lang w:val="en-US"/>
        </w:rPr>
        <w:t>11</w:t>
      </w:r>
      <w:r w:rsidRPr="00373B8E">
        <w:rPr>
          <w:rFonts w:ascii="Times New Roman" w:hAnsi="Times New Roman"/>
          <w:sz w:val="24"/>
          <w:szCs w:val="24"/>
          <w:lang w:val="en-US"/>
        </w:rPr>
        <w:fldChar w:fldCharType="end"/>
      </w:r>
      <w:r w:rsidRPr="00373B8E">
        <w:rPr>
          <w:rFonts w:ascii="Times New Roman" w:hAnsi="Times New Roman"/>
          <w:sz w:val="24"/>
          <w:szCs w:val="24"/>
          <w:lang w:val="en-US"/>
        </w:rPr>
        <w:t xml:space="preserve"> is given in Eq. 4. Obviously, the model is concentration dependent, since it includes absorbance and initial concentrations as variables.</w:t>
      </w:r>
    </w:p>
    <w:p w:rsidR="00373B8E" w:rsidRPr="00373B8E" w:rsidRDefault="00373B8E" w:rsidP="00951C1B">
      <w:pPr>
        <w:spacing w:after="0" w:line="360" w:lineRule="auto"/>
        <w:rPr>
          <w:rFonts w:ascii="Times New Roman" w:hAnsi="Times New Roman"/>
          <w:sz w:val="24"/>
          <w:szCs w:val="24"/>
          <w:lang w:val="en-US"/>
        </w:rPr>
      </w:pPr>
      <w:r w:rsidRPr="00373B8E">
        <w:rPr>
          <w:rFonts w:ascii="Times New Roman" w:hAnsi="Times New Roman"/>
          <w:sz w:val="24"/>
          <w:szCs w:val="24"/>
          <w:lang w:val="en-US"/>
        </w:rPr>
        <w:t>t</w:t>
      </w:r>
      <w:r w:rsidRPr="00373B8E">
        <w:rPr>
          <w:rFonts w:ascii="Times New Roman" w:hAnsi="Times New Roman"/>
          <w:sz w:val="24"/>
          <w:szCs w:val="24"/>
          <w:vertAlign w:val="subscript"/>
          <w:lang w:val="en-US"/>
        </w:rPr>
        <w:t>m</w:t>
      </w:r>
      <w:r w:rsidRPr="00373B8E">
        <w:rPr>
          <w:rFonts w:ascii="Times New Roman" w:hAnsi="Times New Roman"/>
          <w:sz w:val="24"/>
          <w:szCs w:val="24"/>
          <w:lang w:val="en-US"/>
        </w:rPr>
        <w:t xml:space="preserve"> = 0.33(OD)</w:t>
      </w:r>
      <w:r w:rsidR="003D2AE9">
        <w:rPr>
          <w:rFonts w:ascii="Times New Roman" w:hAnsi="Times New Roman"/>
          <w:sz w:val="24"/>
          <w:szCs w:val="24"/>
          <w:lang w:val="en-US"/>
        </w:rPr>
        <w:t>[H</w:t>
      </w:r>
      <w:r w:rsidR="003D2AE9" w:rsidRPr="003D2AE9">
        <w:rPr>
          <w:rFonts w:ascii="Times New Roman" w:hAnsi="Times New Roman"/>
          <w:sz w:val="24"/>
          <w:szCs w:val="24"/>
          <w:vertAlign w:val="superscript"/>
          <w:lang w:val="en-US"/>
        </w:rPr>
        <w:t>+</w:t>
      </w:r>
      <w:r w:rsidR="003D2AE9">
        <w:rPr>
          <w:rFonts w:ascii="Times New Roman" w:hAnsi="Times New Roman"/>
          <w:sz w:val="24"/>
          <w:szCs w:val="24"/>
          <w:lang w:val="en-US"/>
        </w:rPr>
        <w:t>]</w:t>
      </w:r>
      <w:r w:rsidR="0066225B" w:rsidRPr="0066225B">
        <w:rPr>
          <w:rFonts w:ascii="Times New Roman" w:hAnsi="Times New Roman"/>
          <w:sz w:val="24"/>
          <w:szCs w:val="24"/>
          <w:vertAlign w:val="subscript"/>
          <w:lang w:val="en-US"/>
        </w:rPr>
        <w:t>0</w:t>
      </w:r>
      <w:r w:rsidR="003D2AE9">
        <w:rPr>
          <w:rFonts w:ascii="Times New Roman" w:hAnsi="Times New Roman"/>
          <w:sz w:val="24"/>
          <w:szCs w:val="24"/>
          <w:vertAlign w:val="superscript"/>
          <w:lang w:val="en-US"/>
        </w:rPr>
        <w:t>-4.55</w:t>
      </w:r>
      <w:r w:rsidR="003D2AE9">
        <w:rPr>
          <w:rFonts w:ascii="Times New Roman" w:hAnsi="Times New Roman"/>
          <w:sz w:val="24"/>
          <w:szCs w:val="24"/>
          <w:lang w:val="en-US"/>
        </w:rPr>
        <w:t xml:space="preserve"> [KI]</w:t>
      </w:r>
      <w:r w:rsidR="0066225B" w:rsidRPr="0066225B">
        <w:rPr>
          <w:rFonts w:ascii="Times New Roman" w:hAnsi="Times New Roman"/>
          <w:sz w:val="24"/>
          <w:szCs w:val="24"/>
          <w:vertAlign w:val="subscript"/>
          <w:lang w:val="en-US"/>
        </w:rPr>
        <w:t>0</w:t>
      </w:r>
      <w:r w:rsidR="003D2AE9">
        <w:rPr>
          <w:rFonts w:ascii="Times New Roman" w:hAnsi="Times New Roman"/>
          <w:sz w:val="24"/>
          <w:szCs w:val="24"/>
          <w:vertAlign w:val="superscript"/>
          <w:lang w:val="en-US"/>
        </w:rPr>
        <w:t>-1.5</w:t>
      </w:r>
      <w:r w:rsidR="003D2AE9">
        <w:rPr>
          <w:rFonts w:ascii="Times New Roman" w:hAnsi="Times New Roman"/>
          <w:sz w:val="24"/>
          <w:szCs w:val="24"/>
          <w:lang w:val="en-US"/>
        </w:rPr>
        <w:t xml:space="preserve"> [KIO</w:t>
      </w:r>
      <w:r w:rsidR="003D2AE9" w:rsidRPr="003D2AE9">
        <w:rPr>
          <w:rFonts w:ascii="Times New Roman" w:hAnsi="Times New Roman"/>
          <w:sz w:val="24"/>
          <w:szCs w:val="24"/>
          <w:vertAlign w:val="subscript"/>
          <w:lang w:val="en-US"/>
        </w:rPr>
        <w:t>3</w:t>
      </w:r>
      <w:r w:rsidR="003D2AE9">
        <w:rPr>
          <w:rFonts w:ascii="Times New Roman" w:hAnsi="Times New Roman"/>
          <w:sz w:val="24"/>
          <w:szCs w:val="24"/>
          <w:lang w:val="en-US"/>
        </w:rPr>
        <w:t>]</w:t>
      </w:r>
      <w:r w:rsidR="0066225B" w:rsidRPr="0066225B">
        <w:rPr>
          <w:rFonts w:ascii="Times New Roman" w:hAnsi="Times New Roman"/>
          <w:sz w:val="24"/>
          <w:szCs w:val="24"/>
          <w:vertAlign w:val="subscript"/>
          <w:lang w:val="en-US"/>
        </w:rPr>
        <w:t>0</w:t>
      </w:r>
      <w:r w:rsidR="003D2AE9" w:rsidRPr="003D2AE9">
        <w:rPr>
          <w:rFonts w:ascii="Times New Roman" w:hAnsi="Times New Roman"/>
          <w:sz w:val="24"/>
          <w:szCs w:val="24"/>
          <w:vertAlign w:val="superscript"/>
          <w:lang w:val="en-US"/>
        </w:rPr>
        <w:t>5.8</w:t>
      </w:r>
      <w:r w:rsidR="003D2AE9">
        <w:rPr>
          <w:rFonts w:ascii="Times New Roman" w:hAnsi="Times New Roman"/>
          <w:sz w:val="24"/>
          <w:szCs w:val="24"/>
          <w:lang w:val="en-US"/>
        </w:rPr>
        <w:t xml:space="preserve"> [NaOH]</w:t>
      </w:r>
      <w:r w:rsidR="0066225B" w:rsidRPr="0066225B">
        <w:rPr>
          <w:rFonts w:ascii="Times New Roman" w:hAnsi="Times New Roman"/>
          <w:sz w:val="24"/>
          <w:szCs w:val="24"/>
          <w:vertAlign w:val="subscript"/>
          <w:lang w:val="en-US"/>
        </w:rPr>
        <w:t>0</w:t>
      </w:r>
      <w:r w:rsidR="003D2AE9">
        <w:rPr>
          <w:rFonts w:ascii="Times New Roman" w:hAnsi="Times New Roman"/>
          <w:sz w:val="24"/>
          <w:szCs w:val="24"/>
          <w:vertAlign w:val="superscript"/>
          <w:lang w:val="en-US"/>
        </w:rPr>
        <w:t xml:space="preserve">-2 </w:t>
      </w:r>
      <w:r w:rsidR="003D2AE9">
        <w:rPr>
          <w:rFonts w:ascii="Times New Roman" w:hAnsi="Times New Roman"/>
          <w:sz w:val="24"/>
          <w:szCs w:val="24"/>
          <w:lang w:val="en-US"/>
        </w:rPr>
        <w:t>[H</w:t>
      </w:r>
      <w:r w:rsidR="003D2AE9" w:rsidRPr="003D2AE9">
        <w:rPr>
          <w:rFonts w:ascii="Times New Roman" w:hAnsi="Times New Roman"/>
          <w:sz w:val="24"/>
          <w:szCs w:val="24"/>
          <w:vertAlign w:val="subscript"/>
          <w:lang w:val="en-US"/>
        </w:rPr>
        <w:t>3</w:t>
      </w:r>
      <w:r w:rsidR="003D2AE9">
        <w:rPr>
          <w:rFonts w:ascii="Times New Roman" w:hAnsi="Times New Roman"/>
          <w:sz w:val="24"/>
          <w:szCs w:val="24"/>
          <w:lang w:val="en-US"/>
        </w:rPr>
        <w:t>BO</w:t>
      </w:r>
      <w:r w:rsidR="003D2AE9" w:rsidRPr="003D2AE9">
        <w:rPr>
          <w:rFonts w:ascii="Times New Roman" w:hAnsi="Times New Roman"/>
          <w:sz w:val="24"/>
          <w:szCs w:val="24"/>
          <w:vertAlign w:val="subscript"/>
          <w:lang w:val="en-US"/>
        </w:rPr>
        <w:t>3</w:t>
      </w:r>
      <w:r w:rsidR="003D2AE9">
        <w:rPr>
          <w:rFonts w:ascii="Times New Roman" w:hAnsi="Times New Roman"/>
          <w:sz w:val="24"/>
          <w:szCs w:val="24"/>
          <w:lang w:val="en-US"/>
        </w:rPr>
        <w:t>]</w:t>
      </w:r>
      <w:r w:rsidR="0066225B" w:rsidRPr="0066225B">
        <w:rPr>
          <w:rFonts w:ascii="Times New Roman" w:hAnsi="Times New Roman"/>
          <w:sz w:val="24"/>
          <w:szCs w:val="24"/>
          <w:vertAlign w:val="subscript"/>
          <w:lang w:val="en-US"/>
        </w:rPr>
        <w:t>0</w:t>
      </w:r>
      <w:r w:rsidR="003D2AE9">
        <w:rPr>
          <w:rFonts w:ascii="Times New Roman" w:hAnsi="Times New Roman"/>
          <w:sz w:val="24"/>
          <w:szCs w:val="24"/>
          <w:vertAlign w:val="superscript"/>
          <w:lang w:val="en-US"/>
        </w:rPr>
        <w:t>-2</w:t>
      </w:r>
      <w:r w:rsidRPr="00373B8E">
        <w:rPr>
          <w:rFonts w:ascii="Times New Roman" w:hAnsi="Times New Roman"/>
          <w:sz w:val="24"/>
          <w:szCs w:val="24"/>
          <w:lang w:val="en-US"/>
        </w:rPr>
        <w:tab/>
      </w:r>
      <w:r w:rsidRPr="00373B8E">
        <w:rPr>
          <w:rFonts w:ascii="Times New Roman" w:hAnsi="Times New Roman"/>
          <w:sz w:val="24"/>
          <w:szCs w:val="24"/>
          <w:lang w:val="en-US"/>
        </w:rPr>
        <w:tab/>
      </w:r>
      <w:r w:rsidRPr="00373B8E">
        <w:rPr>
          <w:rFonts w:ascii="Times New Roman" w:hAnsi="Times New Roman"/>
          <w:sz w:val="24"/>
          <w:szCs w:val="24"/>
          <w:lang w:val="en-US"/>
        </w:rPr>
        <w:tab/>
      </w:r>
      <w:r w:rsidRPr="00373B8E">
        <w:rPr>
          <w:rFonts w:ascii="Times New Roman" w:hAnsi="Times New Roman"/>
          <w:sz w:val="24"/>
          <w:szCs w:val="24"/>
          <w:lang w:val="en-US"/>
        </w:rPr>
        <w:tab/>
        <w:t xml:space="preserve">(4) </w:t>
      </w:r>
    </w:p>
    <w:p w:rsidR="00373B8E" w:rsidRPr="00373B8E" w:rsidRDefault="00373B8E" w:rsidP="00951C1B">
      <w:pPr>
        <w:spacing w:after="0" w:line="360" w:lineRule="auto"/>
        <w:rPr>
          <w:rFonts w:ascii="Times New Roman" w:hAnsi="Times New Roman"/>
          <w:sz w:val="24"/>
          <w:szCs w:val="24"/>
          <w:lang w:val="en-US"/>
        </w:rPr>
      </w:pPr>
      <w:r w:rsidRPr="00373B8E">
        <w:rPr>
          <w:rFonts w:ascii="Times New Roman" w:hAnsi="Times New Roman"/>
          <w:sz w:val="24"/>
          <w:szCs w:val="24"/>
          <w:lang w:val="en-US"/>
        </w:rPr>
        <w:t xml:space="preserve">Where: OD is optical density which is equivalent to the absorbance of mixed reagents/sample for cuvette of optical density = 1 cm; </w:t>
      </w:r>
      <w:r w:rsidR="00811632">
        <w:rPr>
          <w:rFonts w:ascii="Times New Roman" w:hAnsi="Times New Roman"/>
          <w:sz w:val="24"/>
          <w:szCs w:val="24"/>
          <w:lang w:val="en-US"/>
        </w:rPr>
        <w:t>[i]</w:t>
      </w:r>
      <w:r w:rsidR="00811632" w:rsidRPr="00811632">
        <w:rPr>
          <w:rFonts w:ascii="Times New Roman" w:hAnsi="Times New Roman"/>
          <w:sz w:val="24"/>
          <w:szCs w:val="24"/>
          <w:vertAlign w:val="subscript"/>
          <w:lang w:val="en-US"/>
        </w:rPr>
        <w:t>0</w:t>
      </w:r>
      <w:r w:rsidR="00811632">
        <w:rPr>
          <w:rFonts w:ascii="Times New Roman" w:hAnsi="Times New Roman"/>
          <w:sz w:val="24"/>
          <w:szCs w:val="24"/>
          <w:lang w:val="en-US"/>
        </w:rPr>
        <w:t xml:space="preserve"> </w:t>
      </w:r>
      <w:r w:rsidRPr="00373B8E">
        <w:rPr>
          <w:rFonts w:ascii="Times New Roman" w:hAnsi="Times New Roman"/>
          <w:sz w:val="24"/>
          <w:szCs w:val="24"/>
          <w:lang w:val="en-US"/>
        </w:rPr>
        <w:t>is the initial molar concentration of chemical species ‘i’ (in the stock reagent solution).</w:t>
      </w:r>
    </w:p>
    <w:p w:rsidR="00373B8E" w:rsidRPr="00373B8E" w:rsidRDefault="00373B8E" w:rsidP="00951C1B">
      <w:pPr>
        <w:spacing w:after="0" w:line="360" w:lineRule="auto"/>
        <w:rPr>
          <w:rFonts w:ascii="Times New Roman" w:hAnsi="Times New Roman"/>
          <w:sz w:val="24"/>
          <w:szCs w:val="24"/>
          <w:lang w:val="en-US"/>
        </w:rPr>
      </w:pPr>
      <w:r w:rsidRPr="00373B8E">
        <w:rPr>
          <w:rFonts w:ascii="Times New Roman" w:hAnsi="Times New Roman"/>
          <w:sz w:val="24"/>
          <w:szCs w:val="24"/>
          <w:lang w:val="en-US"/>
        </w:rPr>
        <w:t>However, satisfactory attempts to express t</w:t>
      </w:r>
      <w:r w:rsidRPr="00373B8E">
        <w:rPr>
          <w:rFonts w:ascii="Times New Roman" w:hAnsi="Times New Roman"/>
          <w:sz w:val="24"/>
          <w:szCs w:val="24"/>
          <w:vertAlign w:val="subscript"/>
          <w:lang w:val="en-US"/>
        </w:rPr>
        <w:t>m</w:t>
      </w:r>
      <w:r w:rsidRPr="00373B8E">
        <w:rPr>
          <w:rFonts w:ascii="Times New Roman" w:hAnsi="Times New Roman"/>
          <w:sz w:val="24"/>
          <w:szCs w:val="24"/>
          <w:lang w:val="en-US"/>
        </w:rPr>
        <w:t xml:space="preserve"> as a concentration free parameter (in terms of kinematic viscosity and specific power dissipation rate) are reported somewhere</w:t>
      </w:r>
      <w:r w:rsidR="00F811D5">
        <w:rPr>
          <w:rFonts w:ascii="Times New Roman" w:hAnsi="Times New Roman"/>
          <w:sz w:val="24"/>
          <w:szCs w:val="24"/>
          <w:lang w:val="en-US"/>
        </w:rPr>
        <w:t>.</w:t>
      </w:r>
      <w:r w:rsidRPr="00373B8E">
        <w:rPr>
          <w:rFonts w:ascii="Times New Roman" w:hAnsi="Times New Roman"/>
          <w:sz w:val="24"/>
          <w:szCs w:val="24"/>
          <w:lang w:val="en-US"/>
        </w:rPr>
        <w:fldChar w:fldCharType="begin" w:fldLock="1"/>
      </w:r>
      <w:r w:rsidR="001312F9">
        <w:rPr>
          <w:rFonts w:ascii="Times New Roman" w:hAnsi="Times New Roman"/>
          <w:sz w:val="24"/>
          <w:szCs w:val="24"/>
          <w:lang w:val="en-US"/>
        </w:rPr>
        <w:instrText>ADDIN CSL_CITATION {"citationItems":[{"id":"ITEM-1","itemData":{"DOI":"10.1016/S0009-2509(96)00340-5","ISSN":"23","author":[{"dropping-particle":"","family":"Fournier","given":"M C","non-dropping-particle":"","parse-names":false,"suffix":""},{"dropping-particle":"","family":"Falk","given":"L","non-dropping-particle":"","parse-names":false,"suffix":""},{"dropping-particle":"","family":"Villermaux","given":"J","non-dropping-particle":"","parse-names":false,"suffix":""}],"container-title":"Chemical Engineering Science","id":"ITEM-1","issue":"23","issued":{"date-parts":[["1996"]]},"page":"5187-5192","title":"A new parallel competing reaction system for assessing micromixing efficiency—Determination of micromixing time by a simple mixing model","type":"article-journal","volume":"51"},"uris":["http://www.mendeley.com/documents/?uuid=cbb1ff8b-ff8f-4bf1-ae9c-0b485a0eb1ab"]}],"mendeley":{"formattedCitation":"&lt;sup&gt;9&lt;/sup&gt;","plainTextFormattedCitation":"9","previouslyFormattedCitation":"&lt;sup&gt;9&lt;/sup&gt;"},"properties":{"noteIndex":0},"schema":"https://github.com/citation-style-language/schema/raw/master/csl-citation.json"}</w:instrText>
      </w:r>
      <w:r w:rsidRPr="00373B8E">
        <w:rPr>
          <w:rFonts w:ascii="Times New Roman" w:hAnsi="Times New Roman"/>
          <w:sz w:val="24"/>
          <w:szCs w:val="24"/>
          <w:lang w:val="en-US"/>
        </w:rPr>
        <w:fldChar w:fldCharType="separate"/>
      </w:r>
      <w:r w:rsidR="005B153C" w:rsidRPr="005B153C">
        <w:rPr>
          <w:rFonts w:ascii="Times New Roman" w:hAnsi="Times New Roman"/>
          <w:noProof/>
          <w:sz w:val="24"/>
          <w:szCs w:val="24"/>
          <w:vertAlign w:val="superscript"/>
          <w:lang w:val="en-US"/>
        </w:rPr>
        <w:t>9</w:t>
      </w:r>
      <w:r w:rsidRPr="00373B8E">
        <w:rPr>
          <w:rFonts w:ascii="Times New Roman" w:hAnsi="Times New Roman"/>
          <w:sz w:val="24"/>
          <w:szCs w:val="24"/>
          <w:lang w:val="en-US"/>
        </w:rPr>
        <w:fldChar w:fldCharType="end"/>
      </w:r>
      <w:r w:rsidRPr="00373B8E">
        <w:rPr>
          <w:rFonts w:ascii="Times New Roman" w:hAnsi="Times New Roman"/>
          <w:sz w:val="24"/>
          <w:szCs w:val="24"/>
          <w:lang w:val="en-US"/>
        </w:rPr>
        <w:t xml:space="preserve"> By analysis of literature results, Commenge and Falk </w:t>
      </w:r>
      <w:r w:rsidRPr="00373B8E">
        <w:rPr>
          <w:rFonts w:ascii="Times New Roman" w:hAnsi="Times New Roman"/>
          <w:sz w:val="24"/>
          <w:szCs w:val="24"/>
          <w:lang w:val="en-US"/>
        </w:rPr>
        <w:fldChar w:fldCharType="begin" w:fldLock="1"/>
      </w:r>
      <w:r w:rsidR="001312F9">
        <w:rPr>
          <w:rFonts w:ascii="Times New Roman" w:hAnsi="Times New Roman"/>
          <w:sz w:val="24"/>
          <w:szCs w:val="24"/>
          <w:lang w:val="en-US"/>
        </w:rPr>
        <w:instrText>ADDIN CSL_CITATION {"citationItems":[{"id":"ITEM-1","itemData":{"DOI":"10.1016/j.cep.2011.06.006","ISSN":"10","author":[{"dropping-particle":"","family":"Commenge","given":"Jean Marc","non-dropping-particle":"","parse-names":false,"suffix":""},{"dropping-particle":"","family":"Falk","given":"Laurent","non-dropping-particle":"","parse-names":false,"suffix":""}],"container-title":"Chemical Engineering and Processing: Process Intensification","id":"ITEM-1","issue":"10","issued":{"date-parts":[["2011"]]},"page":"979-990","title":"Villermaux–Dushman protocol for experimental characterization of micromixers","type":"article-journal","volume":"50"},"uris":["http://www.mendeley.com/documents/?uuid=e29ec2c0-86b3-4a1c-8a25-efb133b84b50"]}],"mendeley":{"formattedCitation":"&lt;sup&gt;3&lt;/sup&gt;","plainTextFormattedCitation":"3","previouslyFormattedCitation":"&lt;sup&gt;3&lt;/sup&gt;"},"properties":{"noteIndex":0},"schema":"https://github.com/citation-style-language/schema/raw/master/csl-citation.json"}</w:instrText>
      </w:r>
      <w:r w:rsidRPr="00373B8E">
        <w:rPr>
          <w:rFonts w:ascii="Times New Roman" w:hAnsi="Times New Roman"/>
          <w:sz w:val="24"/>
          <w:szCs w:val="24"/>
          <w:lang w:val="en-US"/>
        </w:rPr>
        <w:fldChar w:fldCharType="separate"/>
      </w:r>
      <w:r w:rsidR="005B153C" w:rsidRPr="005B153C">
        <w:rPr>
          <w:rFonts w:ascii="Times New Roman" w:hAnsi="Times New Roman"/>
          <w:noProof/>
          <w:sz w:val="24"/>
          <w:szCs w:val="24"/>
          <w:vertAlign w:val="superscript"/>
          <w:lang w:val="en-US"/>
        </w:rPr>
        <w:t>3</w:t>
      </w:r>
      <w:r w:rsidRPr="00373B8E">
        <w:rPr>
          <w:rFonts w:ascii="Times New Roman" w:hAnsi="Times New Roman"/>
          <w:sz w:val="24"/>
          <w:szCs w:val="24"/>
          <w:lang w:val="en-US"/>
        </w:rPr>
        <w:fldChar w:fldCharType="end"/>
      </w:r>
      <w:r w:rsidRPr="00373B8E">
        <w:rPr>
          <w:rFonts w:ascii="Times New Roman" w:hAnsi="Times New Roman"/>
          <w:sz w:val="24"/>
          <w:szCs w:val="24"/>
          <w:lang w:val="en-US"/>
        </w:rPr>
        <w:t xml:space="preserve"> obtained a relationship between theoretical mixing time (t</w:t>
      </w:r>
      <w:r w:rsidRPr="00373B8E">
        <w:rPr>
          <w:rFonts w:ascii="Times New Roman" w:hAnsi="Times New Roman"/>
          <w:sz w:val="24"/>
          <w:szCs w:val="24"/>
          <w:vertAlign w:val="subscript"/>
          <w:lang w:val="en-US"/>
        </w:rPr>
        <w:t>mp</w:t>
      </w:r>
      <w:r w:rsidRPr="00373B8E">
        <w:rPr>
          <w:rFonts w:ascii="Times New Roman" w:hAnsi="Times New Roman"/>
          <w:sz w:val="24"/>
          <w:szCs w:val="24"/>
          <w:lang w:val="en-US"/>
        </w:rPr>
        <w:t>) in seconds and specific power dissipation (Ɛ) in W/kg as given in Eq.5. They recommend that the equation be used when pressure drop data due to flow through micromixer is available. Eq. 5 was used to predict mixing time in this work. The specific power dissipation or specific energy dissipation rate is expressed in terms of volumetric flow rate (Q), pressure drop (</w:t>
      </w:r>
      <m:oMath>
        <m:r>
          <m:rPr>
            <m:sty m:val="p"/>
          </m:rPr>
          <w:rPr>
            <w:rFonts w:ascii="Cambria Math" w:hAnsi="Cambria Math"/>
            <w:sz w:val="24"/>
            <w:szCs w:val="24"/>
            <w:lang w:val="en-US"/>
          </w:rPr>
          <m:t>∆P</m:t>
        </m:r>
      </m:oMath>
      <w:r w:rsidRPr="00373B8E">
        <w:rPr>
          <w:rFonts w:ascii="Times New Roman" w:hAnsi="Times New Roman"/>
          <w:sz w:val="24"/>
          <w:szCs w:val="24"/>
          <w:lang w:val="en-US"/>
        </w:rPr>
        <w:t>), density (</w:t>
      </w:r>
      <m:oMath>
        <m:r>
          <m:rPr>
            <m:sty m:val="p"/>
          </m:rPr>
          <w:rPr>
            <w:rFonts w:ascii="Cambria Math" w:hAnsi="Cambria Math"/>
            <w:sz w:val="24"/>
            <w:szCs w:val="24"/>
            <w:lang w:val="en-US"/>
          </w:rPr>
          <m:t>ρ)</m:t>
        </m:r>
      </m:oMath>
      <w:r w:rsidRPr="00373B8E">
        <w:rPr>
          <w:rFonts w:ascii="Times New Roman" w:hAnsi="Times New Roman"/>
          <w:sz w:val="24"/>
          <w:szCs w:val="24"/>
          <w:lang w:val="en-US"/>
        </w:rPr>
        <w:t xml:space="preserve"> and control volume of the micromixer (V) as shown in Eq. 6</w:t>
      </w:r>
      <w:r w:rsidR="00F811D5">
        <w:rPr>
          <w:rFonts w:ascii="Times New Roman" w:hAnsi="Times New Roman"/>
          <w:sz w:val="24"/>
          <w:szCs w:val="24"/>
          <w:lang w:val="en-US"/>
        </w:rPr>
        <w:t>.</w:t>
      </w:r>
      <w:r w:rsidRPr="00373B8E">
        <w:rPr>
          <w:rFonts w:ascii="Times New Roman" w:hAnsi="Times New Roman"/>
          <w:sz w:val="24"/>
          <w:szCs w:val="24"/>
          <w:lang w:val="en-US"/>
        </w:rPr>
        <w:fldChar w:fldCharType="begin" w:fldLock="1"/>
      </w:r>
      <w:r w:rsidR="001312F9">
        <w:rPr>
          <w:rFonts w:ascii="Times New Roman" w:hAnsi="Times New Roman"/>
          <w:sz w:val="24"/>
          <w:szCs w:val="24"/>
          <w:lang w:val="en-US"/>
        </w:rPr>
        <w:instrText>ADDIN CSL_CITATION {"citationItems":[{"id":"ITEM-1","itemData":{"DOI":"10.1016/j.cep.2011.06.006","ISSN":"10","author":[{"dropping-particle":"","family":"Commenge","given":"Jean Marc","non-dropping-particle":"","parse-names":false,"suffix":""},{"dropping-particle":"","family":"Falk","given":"Laurent","non-dropping-particle":"","parse-names":false,"suffix":""}],"container-title":"Chemical Engineering and Processing: Process Intensification","id":"ITEM-1","issue":"10","issued":{"date-parts":[["2011"]]},"page":"979-990","title":"Villermaux–Dushman protocol for experimental characterization of micromixers","type":"article-journal","volume":"50"},"uris":["http://www.mendeley.com/documents/?uuid=e29ec2c0-86b3-4a1c-8a25-efb133b84b50"]}],"mendeley":{"formattedCitation":"&lt;sup&gt;3&lt;/sup&gt;","plainTextFormattedCitation":"3","previouslyFormattedCitation":"&lt;sup&gt;3&lt;/sup&gt;"},"properties":{"noteIndex":0},"schema":"https://github.com/citation-style-language/schema/raw/master/csl-citation.json"}</w:instrText>
      </w:r>
      <w:r w:rsidRPr="00373B8E">
        <w:rPr>
          <w:rFonts w:ascii="Times New Roman" w:hAnsi="Times New Roman"/>
          <w:sz w:val="24"/>
          <w:szCs w:val="24"/>
          <w:lang w:val="en-US"/>
        </w:rPr>
        <w:fldChar w:fldCharType="separate"/>
      </w:r>
      <w:r w:rsidR="005B153C" w:rsidRPr="005B153C">
        <w:rPr>
          <w:rFonts w:ascii="Times New Roman" w:hAnsi="Times New Roman"/>
          <w:noProof/>
          <w:sz w:val="24"/>
          <w:szCs w:val="24"/>
          <w:vertAlign w:val="superscript"/>
          <w:lang w:val="en-US"/>
        </w:rPr>
        <w:t>3</w:t>
      </w:r>
      <w:r w:rsidRPr="00373B8E">
        <w:rPr>
          <w:rFonts w:ascii="Times New Roman" w:hAnsi="Times New Roman"/>
          <w:sz w:val="24"/>
          <w:szCs w:val="24"/>
          <w:lang w:val="en-US"/>
        </w:rPr>
        <w:fldChar w:fldCharType="end"/>
      </w:r>
      <w:r w:rsidRPr="00373B8E">
        <w:rPr>
          <w:rFonts w:ascii="Times New Roman" w:hAnsi="Times New Roman"/>
          <w:sz w:val="24"/>
          <w:szCs w:val="24"/>
          <w:lang w:val="en-US"/>
        </w:rPr>
        <w:t xml:space="preserve"> </w:t>
      </w:r>
    </w:p>
    <w:p w:rsidR="00373B8E" w:rsidRPr="00373B8E" w:rsidRDefault="00BB305F" w:rsidP="00951C1B">
      <w:pPr>
        <w:spacing w:after="0" w:line="360" w:lineRule="auto"/>
        <w:rPr>
          <w:rFonts w:ascii="Times New Roman" w:hAnsi="Times New Roman"/>
          <w:sz w:val="24"/>
          <w:szCs w:val="24"/>
          <w:lang w:val="en-US"/>
        </w:rPr>
      </w:pPr>
      <w:r>
        <w:rPr>
          <w:rFonts w:ascii="Times New Roman" w:hAnsi="Times New Roman"/>
          <w:sz w:val="24"/>
          <w:szCs w:val="24"/>
          <w:lang w:val="en-US"/>
        </w:rPr>
        <w:t>t</w:t>
      </w:r>
      <w:r w:rsidRPr="00BB305F">
        <w:rPr>
          <w:rFonts w:ascii="Times New Roman" w:hAnsi="Times New Roman"/>
          <w:sz w:val="24"/>
          <w:szCs w:val="24"/>
          <w:vertAlign w:val="subscript"/>
          <w:lang w:val="en-US"/>
        </w:rPr>
        <w:t>mp</w:t>
      </w:r>
      <w:r>
        <w:rPr>
          <w:rFonts w:ascii="Times New Roman" w:hAnsi="Times New Roman"/>
          <w:sz w:val="24"/>
          <w:szCs w:val="24"/>
          <w:vertAlign w:val="subscript"/>
          <w:lang w:val="en-US"/>
        </w:rPr>
        <w:t xml:space="preserve"> </w:t>
      </w:r>
      <w:r w:rsidRPr="00BB305F">
        <w:rPr>
          <w:rFonts w:ascii="Times New Roman" w:hAnsi="Times New Roman"/>
          <w:sz w:val="24"/>
          <w:szCs w:val="24"/>
          <w:lang w:val="en-US"/>
        </w:rPr>
        <w:t>=</w:t>
      </w:r>
      <w:r>
        <w:rPr>
          <w:rFonts w:ascii="Times New Roman" w:hAnsi="Times New Roman"/>
          <w:sz w:val="24"/>
          <w:szCs w:val="24"/>
          <w:lang w:val="en-US"/>
        </w:rPr>
        <w:t xml:space="preserve"> 0.15Ɛ</w:t>
      </w:r>
      <w:r w:rsidRPr="00BB305F">
        <w:rPr>
          <w:rFonts w:ascii="Times New Roman" w:hAnsi="Times New Roman"/>
          <w:sz w:val="24"/>
          <w:szCs w:val="24"/>
          <w:vertAlign w:val="superscript"/>
          <w:lang w:val="en-US"/>
        </w:rPr>
        <w:t xml:space="preserve"> -0.45</w:t>
      </w:r>
      <w:r w:rsidR="00373B8E" w:rsidRPr="00373B8E">
        <w:rPr>
          <w:rFonts w:ascii="Times New Roman" w:hAnsi="Times New Roman"/>
          <w:sz w:val="24"/>
          <w:szCs w:val="24"/>
          <w:lang w:val="en-US"/>
        </w:rPr>
        <w:tab/>
      </w:r>
      <w:r w:rsidR="00373B8E" w:rsidRPr="00373B8E">
        <w:rPr>
          <w:rFonts w:ascii="Times New Roman" w:hAnsi="Times New Roman"/>
          <w:sz w:val="24"/>
          <w:szCs w:val="24"/>
          <w:lang w:val="en-US"/>
        </w:rPr>
        <w:tab/>
      </w:r>
      <w:r w:rsidR="00373B8E" w:rsidRPr="00373B8E">
        <w:rPr>
          <w:rFonts w:ascii="Times New Roman" w:hAnsi="Times New Roman"/>
          <w:sz w:val="24"/>
          <w:szCs w:val="24"/>
          <w:lang w:val="en-US"/>
        </w:rPr>
        <w:tab/>
      </w:r>
      <w:r w:rsidR="00373B8E" w:rsidRPr="00373B8E">
        <w:rPr>
          <w:rFonts w:ascii="Times New Roman" w:hAnsi="Times New Roman"/>
          <w:sz w:val="24"/>
          <w:szCs w:val="24"/>
          <w:lang w:val="en-US"/>
        </w:rPr>
        <w:tab/>
      </w:r>
      <w:r w:rsidR="00373B8E" w:rsidRPr="00373B8E">
        <w:rPr>
          <w:rFonts w:ascii="Times New Roman" w:hAnsi="Times New Roman"/>
          <w:sz w:val="24"/>
          <w:szCs w:val="24"/>
          <w:lang w:val="en-US"/>
        </w:rPr>
        <w:tab/>
      </w:r>
      <w:r w:rsidR="00373B8E" w:rsidRPr="00373B8E">
        <w:rPr>
          <w:rFonts w:ascii="Times New Roman" w:hAnsi="Times New Roman"/>
          <w:sz w:val="24"/>
          <w:szCs w:val="24"/>
          <w:lang w:val="en-US"/>
        </w:rPr>
        <w:tab/>
      </w:r>
      <w:r w:rsidR="00373B8E" w:rsidRPr="00373B8E">
        <w:rPr>
          <w:rFonts w:ascii="Times New Roman" w:hAnsi="Times New Roman"/>
          <w:sz w:val="24"/>
          <w:szCs w:val="24"/>
          <w:lang w:val="en-US"/>
        </w:rPr>
        <w:tab/>
      </w:r>
      <w:r w:rsidR="00373B8E" w:rsidRPr="00373B8E">
        <w:rPr>
          <w:rFonts w:ascii="Times New Roman" w:hAnsi="Times New Roman"/>
          <w:sz w:val="24"/>
          <w:szCs w:val="24"/>
          <w:lang w:val="en-US"/>
        </w:rPr>
        <w:tab/>
      </w:r>
      <w:r w:rsidR="00373B8E" w:rsidRPr="00373B8E">
        <w:rPr>
          <w:rFonts w:ascii="Times New Roman" w:hAnsi="Times New Roman"/>
          <w:sz w:val="24"/>
          <w:szCs w:val="24"/>
          <w:lang w:val="en-US"/>
        </w:rPr>
        <w:tab/>
      </w:r>
      <w:r w:rsidR="00373B8E" w:rsidRPr="00373B8E">
        <w:rPr>
          <w:rFonts w:ascii="Times New Roman" w:hAnsi="Times New Roman"/>
          <w:sz w:val="24"/>
          <w:szCs w:val="24"/>
          <w:lang w:val="en-US"/>
        </w:rPr>
        <w:tab/>
        <w:t>(5)</w:t>
      </w:r>
    </w:p>
    <w:p w:rsidR="00373B8E" w:rsidRPr="00373B8E" w:rsidRDefault="00BB305F" w:rsidP="00951C1B">
      <w:pPr>
        <w:spacing w:after="0" w:line="360" w:lineRule="auto"/>
        <w:rPr>
          <w:rFonts w:ascii="Times New Roman" w:hAnsi="Times New Roman"/>
          <w:sz w:val="24"/>
          <w:szCs w:val="24"/>
          <w:lang w:val="en-US"/>
        </w:rPr>
      </w:pPr>
      <w:r w:rsidRPr="00BB305F">
        <w:rPr>
          <w:rFonts w:ascii="Times New Roman" w:hAnsi="Times New Roman"/>
          <w:sz w:val="24"/>
          <w:szCs w:val="24"/>
          <w:lang w:val="en-US"/>
        </w:rPr>
        <w:t>Ɛ</w:t>
      </w:r>
      <w:r>
        <w:rPr>
          <w:rFonts w:ascii="Times New Roman" w:hAnsi="Times New Roman"/>
          <w:sz w:val="24"/>
          <w:szCs w:val="24"/>
          <w:lang w:val="en-US"/>
        </w:rPr>
        <w:t xml:space="preserve"> </w:t>
      </w:r>
      <w:r w:rsidRPr="00BB305F">
        <w:rPr>
          <w:rFonts w:ascii="Times New Roman" w:hAnsi="Times New Roman"/>
          <w:sz w:val="24"/>
          <w:szCs w:val="24"/>
          <w:lang w:val="en-US"/>
        </w:rPr>
        <w:t>=</w:t>
      </w:r>
      <w:r>
        <w:rPr>
          <w:rFonts w:ascii="Times New Roman" w:hAnsi="Times New Roman"/>
          <w:sz w:val="24"/>
          <w:szCs w:val="24"/>
          <w:lang w:val="en-US"/>
        </w:rPr>
        <w:t xml:space="preserve"> Q*</w:t>
      </w:r>
      <w:r w:rsidRPr="00BB305F">
        <w:rPr>
          <w:rFonts w:ascii="Times New Roman" w:hAnsi="Times New Roman"/>
          <w:sz w:val="24"/>
          <w:szCs w:val="24"/>
          <w:lang w:val="en-US"/>
        </w:rPr>
        <w:t>∆P</w:t>
      </w:r>
      <w:r>
        <w:rPr>
          <w:rFonts w:ascii="Times New Roman" w:hAnsi="Times New Roman"/>
          <w:sz w:val="24"/>
          <w:szCs w:val="24"/>
          <w:lang w:val="en-US"/>
        </w:rPr>
        <w:t>/(ρ</w:t>
      </w:r>
      <w:r w:rsidRPr="00BB305F">
        <w:rPr>
          <w:rFonts w:ascii="Times New Roman" w:hAnsi="Times New Roman"/>
          <w:sz w:val="24"/>
          <w:szCs w:val="24"/>
          <w:lang w:val="en-US"/>
        </w:rPr>
        <w:t>V)</w:t>
      </w:r>
      <w:r>
        <w:rPr>
          <w:rFonts w:ascii="Times New Roman" w:hAnsi="Times New Roman"/>
          <w:sz w:val="24"/>
          <w:szCs w:val="24"/>
          <w:lang w:val="en-US"/>
        </w:rPr>
        <w:t xml:space="preserve"> </w:t>
      </w:r>
      <w:r w:rsidR="00373B8E" w:rsidRPr="00373B8E">
        <w:rPr>
          <w:rFonts w:ascii="Times New Roman" w:hAnsi="Times New Roman"/>
          <w:sz w:val="24"/>
          <w:szCs w:val="24"/>
          <w:lang w:val="en-US"/>
        </w:rPr>
        <w:tab/>
      </w:r>
      <w:r w:rsidR="00373B8E" w:rsidRPr="00373B8E">
        <w:rPr>
          <w:rFonts w:ascii="Times New Roman" w:hAnsi="Times New Roman"/>
          <w:sz w:val="24"/>
          <w:szCs w:val="24"/>
          <w:lang w:val="en-US"/>
        </w:rPr>
        <w:tab/>
      </w:r>
      <w:r w:rsidR="00373B8E" w:rsidRPr="00373B8E">
        <w:rPr>
          <w:rFonts w:ascii="Times New Roman" w:hAnsi="Times New Roman"/>
          <w:sz w:val="24"/>
          <w:szCs w:val="24"/>
          <w:lang w:val="en-US"/>
        </w:rPr>
        <w:tab/>
      </w:r>
      <w:r w:rsidR="00373B8E" w:rsidRPr="00373B8E">
        <w:rPr>
          <w:rFonts w:ascii="Times New Roman" w:hAnsi="Times New Roman"/>
          <w:sz w:val="24"/>
          <w:szCs w:val="24"/>
          <w:lang w:val="en-US"/>
        </w:rPr>
        <w:tab/>
      </w:r>
      <w:r w:rsidR="00373B8E" w:rsidRPr="00373B8E">
        <w:rPr>
          <w:rFonts w:ascii="Times New Roman" w:hAnsi="Times New Roman"/>
          <w:sz w:val="24"/>
          <w:szCs w:val="24"/>
          <w:lang w:val="en-US"/>
        </w:rPr>
        <w:tab/>
      </w:r>
      <w:r w:rsidR="00373B8E" w:rsidRPr="00373B8E">
        <w:rPr>
          <w:rFonts w:ascii="Times New Roman" w:hAnsi="Times New Roman"/>
          <w:sz w:val="24"/>
          <w:szCs w:val="24"/>
          <w:lang w:val="en-US"/>
        </w:rPr>
        <w:tab/>
      </w:r>
      <w:r w:rsidR="00373B8E" w:rsidRPr="00373B8E">
        <w:rPr>
          <w:rFonts w:ascii="Times New Roman" w:hAnsi="Times New Roman"/>
          <w:sz w:val="24"/>
          <w:szCs w:val="24"/>
          <w:lang w:val="en-US"/>
        </w:rPr>
        <w:tab/>
      </w:r>
      <w:r w:rsidR="00373B8E" w:rsidRPr="00373B8E">
        <w:rPr>
          <w:rFonts w:ascii="Times New Roman" w:hAnsi="Times New Roman"/>
          <w:sz w:val="24"/>
          <w:szCs w:val="24"/>
          <w:lang w:val="en-US"/>
        </w:rPr>
        <w:tab/>
      </w:r>
      <w:r w:rsidR="00373B8E" w:rsidRPr="00373B8E">
        <w:rPr>
          <w:rFonts w:ascii="Times New Roman" w:hAnsi="Times New Roman"/>
          <w:sz w:val="24"/>
          <w:szCs w:val="24"/>
          <w:lang w:val="en-US"/>
        </w:rPr>
        <w:tab/>
      </w:r>
      <w:r w:rsidR="00373B8E" w:rsidRPr="00373B8E">
        <w:rPr>
          <w:rFonts w:ascii="Times New Roman" w:hAnsi="Times New Roman"/>
          <w:sz w:val="24"/>
          <w:szCs w:val="24"/>
          <w:lang w:val="en-US"/>
        </w:rPr>
        <w:tab/>
        <w:t>(6)</w:t>
      </w:r>
    </w:p>
    <w:p w:rsidR="00373B8E" w:rsidRPr="00373B8E" w:rsidRDefault="00373B8E" w:rsidP="00951C1B">
      <w:pPr>
        <w:spacing w:after="0" w:line="360" w:lineRule="auto"/>
        <w:rPr>
          <w:rFonts w:ascii="Times New Roman" w:hAnsi="Times New Roman"/>
          <w:spacing w:val="2"/>
          <w:sz w:val="24"/>
          <w:szCs w:val="24"/>
          <w:shd w:val="clear" w:color="auto" w:fill="FFFFFF"/>
          <w:lang w:val="en-US"/>
        </w:rPr>
      </w:pPr>
      <w:r w:rsidRPr="00373B8E">
        <w:rPr>
          <w:rFonts w:ascii="Times New Roman" w:hAnsi="Times New Roman"/>
          <w:sz w:val="24"/>
          <w:szCs w:val="24"/>
          <w:lang w:val="en-US"/>
        </w:rPr>
        <w:t>Due to variations in channel dimensions and fluid flow conditions for different experimental set-ups, works on micromixer performance are better reported in terms of Re values rather than volumetric flow rates or velocity. Also, it may not be appropriate to compare values of performance data from different works because several authors report different reagent concentrations and reagents’ flow rate ratios</w:t>
      </w:r>
      <w:r w:rsidR="00887B9E">
        <w:rPr>
          <w:rFonts w:ascii="Times New Roman" w:hAnsi="Times New Roman"/>
          <w:sz w:val="24"/>
          <w:szCs w:val="24"/>
          <w:lang w:val="en-US"/>
        </w:rPr>
        <w:t>.</w:t>
      </w:r>
      <w:r w:rsidRPr="00373B8E">
        <w:rPr>
          <w:rFonts w:ascii="Times New Roman" w:hAnsi="Times New Roman"/>
          <w:sz w:val="24"/>
          <w:szCs w:val="24"/>
          <w:lang w:val="en-US"/>
        </w:rPr>
        <w:fldChar w:fldCharType="begin" w:fldLock="1"/>
      </w:r>
      <w:r w:rsidR="001312F9">
        <w:rPr>
          <w:rFonts w:ascii="Times New Roman" w:hAnsi="Times New Roman"/>
          <w:sz w:val="24"/>
          <w:szCs w:val="24"/>
          <w:lang w:val="en-US"/>
        </w:rPr>
        <w:instrText>ADDIN CSL_CITATION {"citationItems":[{"id":"ITEM-1","itemData":{"DOI":"10.1039/c7re00051k","ISSN":"20589883","abstract":"We extensively examined the performance of microjet mixers.We extensively examined and discussed the performance of microjet mixers that consisted of two concentrically arranged tubes. The orientation of the feed streams with respect to the inner and outer inlets was the crucial factor for promoting the desired reaction. The Reynolds number after jetting and the velocity ratio of the inner and outer fluids were the key variables for promoting vigorous jetting and efficient mixing. By choosing the appropriate operating conditions, the microjet mixers exhibited excellent performance. The design protocol for microjet mixers was established based on mixing time measurements. We successfully maximized the throughput in one channel and numbered-up the microjet mixers. The microjet mixers also proved to be useful for treating viscous fluids with the appropriate choice of the feed orientation. The complete mixing of water with a 200 times more viscous fluid was achieved in 20 ms.","author":[{"dropping-particle":"","family":"Asano","given":"S.","non-dropping-particle":"","parse-names":false,"suffix":""},{"dropping-particle":"","family":"Yamada","given":"S.","non-dropping-particle":"","parse-names":false,"suffix":""},{"dropping-particle":"","family":"Maki","given":"T.","non-dropping-particle":"","parse-names":false,"suffix":""},{"dropping-particle":"","family":"Muranaka","given":"Y.","non-dropping-particle":"","parse-names":false,"suffix":""},{"dropping-particle":"","family":"Mae","given":"K.","non-dropping-particle":"","parse-names":false,"suffix":""}],"container-title":"Reaction Chemistry &amp; Engineering","id":"ITEM-1","issue":"6","issued":{"date-parts":[["2017"]]},"page":"830-841","title":"Design protocol of microjet mixers for achieving desirable mixing times with arbitrary flow rate ratios","type":"article-journal","volume":"2"},"uris":["http://www.mendeley.com/documents/?uuid=c2c3ce71-435e-4cef-8c8d-19e4b91e7f44"]}],"mendeley":{"formattedCitation":"&lt;sup&gt;11&lt;/sup&gt;","plainTextFormattedCitation":"11","previouslyFormattedCitation":"&lt;sup&gt;11&lt;/sup&gt;"},"properties":{"noteIndex":0},"schema":"https://github.com/citation-style-language/schema/raw/master/csl-citation.json"}</w:instrText>
      </w:r>
      <w:r w:rsidRPr="00373B8E">
        <w:rPr>
          <w:rFonts w:ascii="Times New Roman" w:hAnsi="Times New Roman"/>
          <w:sz w:val="24"/>
          <w:szCs w:val="24"/>
          <w:lang w:val="en-US"/>
        </w:rPr>
        <w:fldChar w:fldCharType="separate"/>
      </w:r>
      <w:r w:rsidR="005B153C" w:rsidRPr="005B153C">
        <w:rPr>
          <w:rFonts w:ascii="Times New Roman" w:hAnsi="Times New Roman"/>
          <w:noProof/>
          <w:sz w:val="24"/>
          <w:szCs w:val="24"/>
          <w:vertAlign w:val="superscript"/>
          <w:lang w:val="en-US"/>
        </w:rPr>
        <w:t>11</w:t>
      </w:r>
      <w:r w:rsidRPr="00373B8E">
        <w:rPr>
          <w:rFonts w:ascii="Times New Roman" w:hAnsi="Times New Roman"/>
          <w:sz w:val="24"/>
          <w:szCs w:val="24"/>
          <w:lang w:val="en-US"/>
        </w:rPr>
        <w:fldChar w:fldCharType="end"/>
      </w:r>
      <w:r w:rsidRPr="00373B8E">
        <w:rPr>
          <w:rFonts w:ascii="Times New Roman" w:hAnsi="Times New Roman"/>
          <w:sz w:val="24"/>
          <w:szCs w:val="24"/>
          <w:lang w:val="en-US"/>
        </w:rPr>
        <w:t xml:space="preserve"> In the</w:t>
      </w:r>
      <w:r w:rsidRPr="00373B8E">
        <w:rPr>
          <w:rFonts w:ascii="Times New Roman" w:eastAsia="Times New Roman" w:hAnsi="Times New Roman"/>
          <w:sz w:val="24"/>
          <w:szCs w:val="24"/>
          <w:lang w:val="en-US"/>
        </w:rPr>
        <w:t xml:space="preserve"> evaluation of mixing performance of T, Y, and oriented Y micromixers with spatially arranged outlet channel using Villermaux-Dushman protocol, at minimum flow rate of 10 mL/min at average fluid velocity of 0.331 m/s </w:t>
      </w:r>
      <w:r w:rsidRPr="00373B8E">
        <w:rPr>
          <w:rFonts w:ascii="Times New Roman" w:eastAsia="Times New Roman" w:hAnsi="Times New Roman"/>
          <w:sz w:val="24"/>
          <w:szCs w:val="24"/>
          <w:lang w:val="en-US"/>
        </w:rPr>
        <w:lastRenderedPageBreak/>
        <w:t>(minimum Re = 265), reduction in segregation index (improvement in mixing performance) with increasing flow rate is reported</w:t>
      </w:r>
      <w:r w:rsidR="00887B9E">
        <w:rPr>
          <w:rFonts w:ascii="Times New Roman" w:eastAsia="Times New Roman" w:hAnsi="Times New Roman"/>
          <w:sz w:val="24"/>
          <w:szCs w:val="24"/>
          <w:lang w:val="en-US"/>
        </w:rPr>
        <w:t>.</w:t>
      </w:r>
      <w:r w:rsidRPr="00373B8E">
        <w:rPr>
          <w:rFonts w:ascii="Times New Roman" w:eastAsia="Times New Roman" w:hAnsi="Times New Roman"/>
          <w:sz w:val="24"/>
          <w:szCs w:val="24"/>
          <w:lang w:val="en-US"/>
        </w:rPr>
        <w:fldChar w:fldCharType="begin" w:fldLock="1"/>
      </w:r>
      <w:r w:rsidR="001312F9">
        <w:rPr>
          <w:rFonts w:ascii="Times New Roman" w:eastAsia="Times New Roman" w:hAnsi="Times New Roman"/>
          <w:sz w:val="24"/>
          <w:szCs w:val="24"/>
          <w:lang w:val="en-US"/>
        </w:rPr>
        <w:instrText>ADDIN CSL_CITATION {"citationItems":[{"id":"ITEM-1","itemData":{"DOI":"10.1007/s00542-016-3118-6","ISSN":"0946-7076","author":[{"dropping-particle":"","family":"Rahimi","given":"Masoud","non-dropping-particle":"","parse-names":false,"suffix":""},{"dropping-particle":"","family":"Azimi","given":"Neda","non-dropping-particle":"","parse-names":false,"suffix":""},{"dropping-particle":"","family":"Parsamogadam","given":"Mohammad Amin","non-dropping-particle":"","parse-names":false,"suffix":""},{"dropping-particle":"","family":"Rahimi","given":"Alireza","non-dropping-particle":"","parse-names":false,"suffix":""},{"dropping-particle":"","family":"Masahy","given":"Mohammad Moein","non-dropping-particle":"","parse-names":false,"suffix":""},{"dropping-particle":"","family":"Rahimi","given":"Masoud","non-dropping-particle":"","parse-names":false,"suffix":""},{"dropping-particle":"","family":"Azimi","given":"Neda","non-dropping-particle":"","parse-names":false,"suffix":""},{"dropping-particle":"","family":"Parsamogadam","given":"Mohammad Amin","non-dropping-particle":"","parse-names":false,"suffix":""}],"container-title":"Microsystem Technologies","id":"ITEM-1","issue":"8","issued":{"date-parts":[["2017"]]},"page":"3117–3130","title":"Mixing performance of T, Y, and oriented Y ‑ micromixers with spatially arranged outlet channel: evaluation with Villermaux/Dushman test reaction","type":"article-journal","volume":"23"},"uris":["http://www.mendeley.com/documents/?uuid=916ceb83-ef8d-40cb-af66-78e1121bf6ae"]}],"mendeley":{"formattedCitation":"&lt;sup&gt;5&lt;/sup&gt;","plainTextFormattedCitation":"5","previouslyFormattedCitation":"&lt;sup&gt;5&lt;/sup&gt;"},"properties":{"noteIndex":0},"schema":"https://github.com/citation-style-language/schema/raw/master/csl-citation.json"}</w:instrText>
      </w:r>
      <w:r w:rsidRPr="00373B8E">
        <w:rPr>
          <w:rFonts w:ascii="Times New Roman" w:eastAsia="Times New Roman" w:hAnsi="Times New Roman"/>
          <w:sz w:val="24"/>
          <w:szCs w:val="24"/>
          <w:lang w:val="en-US"/>
        </w:rPr>
        <w:fldChar w:fldCharType="separate"/>
      </w:r>
      <w:r w:rsidR="005B153C" w:rsidRPr="005B153C">
        <w:rPr>
          <w:rFonts w:ascii="Times New Roman" w:eastAsia="Times New Roman" w:hAnsi="Times New Roman"/>
          <w:noProof/>
          <w:sz w:val="24"/>
          <w:szCs w:val="24"/>
          <w:vertAlign w:val="superscript"/>
          <w:lang w:val="en-US"/>
        </w:rPr>
        <w:t>5</w:t>
      </w:r>
      <w:r w:rsidRPr="00373B8E">
        <w:rPr>
          <w:rFonts w:ascii="Times New Roman" w:eastAsia="Times New Roman" w:hAnsi="Times New Roman"/>
          <w:sz w:val="24"/>
          <w:szCs w:val="24"/>
          <w:lang w:val="en-US"/>
        </w:rPr>
        <w:fldChar w:fldCharType="end"/>
      </w:r>
      <w:r w:rsidRPr="00373B8E">
        <w:rPr>
          <w:rFonts w:ascii="Times New Roman" w:eastAsia="Times New Roman" w:hAnsi="Times New Roman"/>
          <w:sz w:val="24"/>
          <w:szCs w:val="24"/>
          <w:lang w:val="en-US"/>
        </w:rPr>
        <w:t xml:space="preserve"> From the result, by comparison of segregation index values at common flow rates, the oriented Y micromixers (which has arrow-shaped confluence) gave the best mixing performance followed by T and then Y-mixer</w:t>
      </w:r>
      <w:r w:rsidR="00887B9E">
        <w:rPr>
          <w:rFonts w:ascii="Times New Roman" w:eastAsia="Times New Roman" w:hAnsi="Times New Roman"/>
          <w:sz w:val="24"/>
          <w:szCs w:val="24"/>
          <w:lang w:val="en-US"/>
        </w:rPr>
        <w:t>.</w:t>
      </w:r>
      <w:r w:rsidRPr="00373B8E">
        <w:rPr>
          <w:rFonts w:ascii="Times New Roman" w:eastAsia="Times New Roman" w:hAnsi="Times New Roman"/>
          <w:sz w:val="24"/>
          <w:szCs w:val="24"/>
          <w:lang w:val="en-US"/>
        </w:rPr>
        <w:fldChar w:fldCharType="begin" w:fldLock="1"/>
      </w:r>
      <w:r w:rsidR="001312F9">
        <w:rPr>
          <w:rFonts w:ascii="Times New Roman" w:eastAsia="Times New Roman" w:hAnsi="Times New Roman"/>
          <w:sz w:val="24"/>
          <w:szCs w:val="24"/>
          <w:lang w:val="en-US"/>
        </w:rPr>
        <w:instrText>ADDIN CSL_CITATION {"citationItems":[{"id":"ITEM-1","itemData":{"DOI":"10.1007/s00542-016-3118-6","ISSN":"0946-7076","author":[{"dropping-particle":"","family":"Rahimi","given":"Masoud","non-dropping-particle":"","parse-names":false,"suffix":""},{"dropping-particle":"","family":"Azimi","given":"Neda","non-dropping-particle":"","parse-names":false,"suffix":""},{"dropping-particle":"","family":"Parsamogadam","given":"Mohammad Amin","non-dropping-particle":"","parse-names":false,"suffix":""},{"dropping-particle":"","family":"Rahimi","given":"Alireza","non-dropping-particle":"","parse-names":false,"suffix":""},{"dropping-particle":"","family":"Masahy","given":"Mohammad Moein","non-dropping-particle":"","parse-names":false,"suffix":""},{"dropping-particle":"","family":"Rahimi","given":"Masoud","non-dropping-particle":"","parse-names":false,"suffix":""},{"dropping-particle":"","family":"Azimi","given":"Neda","non-dropping-particle":"","parse-names":false,"suffix":""},{"dropping-particle":"","family":"Parsamogadam","given":"Mohammad Amin","non-dropping-particle":"","parse-names":false,"suffix":""}],"container-title":"Microsystem Technologies","id":"ITEM-1","issue":"8","issued":{"date-parts":[["2017"]]},"page":"3117–3130","title":"Mixing performance of T, Y, and oriented Y ‑ micromixers with spatially arranged outlet channel: evaluation with Villermaux/Dushman test reaction","type":"article-journal","volume":"23"},"uris":["http://www.mendeley.com/documents/?uuid=916ceb83-ef8d-40cb-af66-78e1121bf6ae"]}],"mendeley":{"formattedCitation":"&lt;sup&gt;5&lt;/sup&gt;","plainTextFormattedCitation":"5","previouslyFormattedCitation":"&lt;sup&gt;5&lt;/sup&gt;"},"properties":{"noteIndex":0},"schema":"https://github.com/citation-style-language/schema/raw/master/csl-citation.json"}</w:instrText>
      </w:r>
      <w:r w:rsidRPr="00373B8E">
        <w:rPr>
          <w:rFonts w:ascii="Times New Roman" w:eastAsia="Times New Roman" w:hAnsi="Times New Roman"/>
          <w:sz w:val="24"/>
          <w:szCs w:val="24"/>
          <w:lang w:val="en-US"/>
        </w:rPr>
        <w:fldChar w:fldCharType="separate"/>
      </w:r>
      <w:r w:rsidR="005B153C" w:rsidRPr="005B153C">
        <w:rPr>
          <w:rFonts w:ascii="Times New Roman" w:eastAsia="Times New Roman" w:hAnsi="Times New Roman"/>
          <w:noProof/>
          <w:sz w:val="24"/>
          <w:szCs w:val="24"/>
          <w:vertAlign w:val="superscript"/>
          <w:lang w:val="en-US"/>
        </w:rPr>
        <w:t>5</w:t>
      </w:r>
      <w:r w:rsidRPr="00373B8E">
        <w:rPr>
          <w:rFonts w:ascii="Times New Roman" w:eastAsia="Times New Roman" w:hAnsi="Times New Roman"/>
          <w:sz w:val="24"/>
          <w:szCs w:val="24"/>
          <w:lang w:val="en-US"/>
        </w:rPr>
        <w:fldChar w:fldCharType="end"/>
      </w:r>
      <w:r w:rsidRPr="00373B8E">
        <w:rPr>
          <w:rFonts w:ascii="Times New Roman" w:eastAsia="Times New Roman" w:hAnsi="Times New Roman"/>
          <w:sz w:val="24"/>
          <w:szCs w:val="24"/>
          <w:lang w:val="en-US"/>
        </w:rPr>
        <w:t xml:space="preserve"> </w:t>
      </w:r>
      <w:r w:rsidRPr="00373B8E">
        <w:rPr>
          <w:rFonts w:ascii="Times New Roman" w:hAnsi="Times New Roman"/>
          <w:sz w:val="24"/>
          <w:szCs w:val="24"/>
          <w:lang w:val="en-US"/>
        </w:rPr>
        <w:t>Also, similar result on comparison of mixer performances and effect of flow rate on mixing performance was earlier reported using an online spectroscopic analysis system (UVmini1240, SHIMADZU), still at Re &gt; 265</w:t>
      </w:r>
      <w:r w:rsidR="00887B9E">
        <w:rPr>
          <w:rFonts w:ascii="Times New Roman" w:hAnsi="Times New Roman"/>
          <w:sz w:val="24"/>
          <w:szCs w:val="24"/>
          <w:lang w:val="en-US"/>
        </w:rPr>
        <w:t>.</w:t>
      </w:r>
      <w:r w:rsidRPr="00373B8E">
        <w:rPr>
          <w:rFonts w:ascii="Times New Roman" w:hAnsi="Times New Roman"/>
          <w:sz w:val="24"/>
          <w:szCs w:val="24"/>
          <w:lang w:val="en-US"/>
        </w:rPr>
        <w:fldChar w:fldCharType="begin" w:fldLock="1"/>
      </w:r>
      <w:r w:rsidR="001312F9">
        <w:rPr>
          <w:rFonts w:ascii="Times New Roman" w:hAnsi="Times New Roman"/>
          <w:sz w:val="24"/>
          <w:szCs w:val="24"/>
          <w:lang w:val="en-US"/>
        </w:rPr>
        <w:instrText>ADDIN CSL_CITATION {"citationItems":[{"id":"ITEM-1","itemData":{"DOI":"10.1016/j.cep.2014.09.001","author":[{"dropping-particle":"","family":"Rahimi","given":"Masoud","non-dropping-particle":"","parse-names":false,"suffix":""},{"dropping-particle":"","family":"Valeh-e-Sheyda","given":"Peyvand","non-dropping-particle":"","parse-names":false,"suffix":""},{"dropping-particle":"","family":"Parsamoghadam","given":"Mohammad Amin","non-dropping-particle":"","parse-names":false,"suffix":""},{"dropping-particle":"","family":"Azimi","given":"Neda","non-dropping-particle":"","parse-names":false,"suffix":""},{"dropping-particle":"","family":"Adibi","given":"Hadi","non-dropping-particle":"","parse-names":false,"suffix":""}],"container-title":"Chemical Engineering and Processing: Process Intensification","id":"ITEM-1","issued":{"date-parts":[["2014"]]},"page":"178-186","title":"LASP and Villermaux/Dushman protocols for mixing performance in microchannels: Effect of geometry on micromixing characterization and size reduction","type":"article-journal","volume":"85"},"uris":["http://www.mendeley.com/documents/?uuid=54ffec09-7021-4974-8aba-f249ff8cc8ab"]}],"mendeley":{"formattedCitation":"&lt;sup&gt;7&lt;/sup&gt;","plainTextFormattedCitation":"7","previouslyFormattedCitation":"&lt;sup&gt;7&lt;/sup&gt;"},"properties":{"noteIndex":0},"schema":"https://github.com/citation-style-language/schema/raw/master/csl-citation.json"}</w:instrText>
      </w:r>
      <w:r w:rsidRPr="00373B8E">
        <w:rPr>
          <w:rFonts w:ascii="Times New Roman" w:hAnsi="Times New Roman"/>
          <w:sz w:val="24"/>
          <w:szCs w:val="24"/>
          <w:lang w:val="en-US"/>
        </w:rPr>
        <w:fldChar w:fldCharType="separate"/>
      </w:r>
      <w:r w:rsidR="005B153C" w:rsidRPr="005B153C">
        <w:rPr>
          <w:rFonts w:ascii="Times New Roman" w:hAnsi="Times New Roman"/>
          <w:noProof/>
          <w:sz w:val="24"/>
          <w:szCs w:val="24"/>
          <w:vertAlign w:val="superscript"/>
          <w:lang w:val="en-US"/>
        </w:rPr>
        <w:t>7</w:t>
      </w:r>
      <w:r w:rsidRPr="00373B8E">
        <w:rPr>
          <w:rFonts w:ascii="Times New Roman" w:hAnsi="Times New Roman"/>
          <w:sz w:val="24"/>
          <w:szCs w:val="24"/>
          <w:lang w:val="en-US"/>
        </w:rPr>
        <w:fldChar w:fldCharType="end"/>
      </w:r>
      <w:r w:rsidRPr="00373B8E">
        <w:rPr>
          <w:rFonts w:ascii="Times New Roman" w:hAnsi="Times New Roman"/>
          <w:sz w:val="24"/>
          <w:szCs w:val="24"/>
          <w:lang w:val="en-US"/>
        </w:rPr>
        <w:t xml:space="preserve"> Information on mixing performance at very low Re values is scarce and such information may be very valuable in certain applications like drug delivery and in achieving mixing down to cellular level in biological systems.</w:t>
      </w:r>
    </w:p>
    <w:p w:rsidR="00373B8E" w:rsidRPr="00373B8E" w:rsidRDefault="00373B8E" w:rsidP="00951C1B">
      <w:pPr>
        <w:spacing w:after="0" w:line="360" w:lineRule="auto"/>
        <w:rPr>
          <w:rFonts w:ascii="Times New Roman" w:hAnsi="Times New Roman"/>
          <w:b/>
          <w:bCs/>
          <w:spacing w:val="2"/>
          <w:sz w:val="24"/>
          <w:szCs w:val="24"/>
          <w:shd w:val="clear" w:color="auto" w:fill="FFFFFF"/>
          <w:lang w:val="en-US"/>
        </w:rPr>
      </w:pPr>
      <w:r w:rsidRPr="00373B8E">
        <w:rPr>
          <w:rFonts w:ascii="Times New Roman" w:hAnsi="Times New Roman"/>
          <w:spacing w:val="2"/>
          <w:sz w:val="24"/>
          <w:szCs w:val="24"/>
          <w:shd w:val="clear" w:color="auto" w:fill="FFFFFF"/>
          <w:lang w:val="en-US"/>
        </w:rPr>
        <w:t xml:space="preserve">In consolidation with the works of other researchers, this study aims at comparing the mixing performances of three different configurations of micromixers (T, Y and arrow-mixers) using the </w:t>
      </w:r>
      <w:r w:rsidRPr="00373B8E">
        <w:rPr>
          <w:rFonts w:ascii="Times New Roman" w:hAnsi="Times New Roman"/>
          <w:sz w:val="24"/>
          <w:szCs w:val="24"/>
          <w:lang w:val="en-US"/>
        </w:rPr>
        <w:t>Villermaux-Dushman test reaction at low Re values</w:t>
      </w:r>
      <w:r w:rsidRPr="00373B8E">
        <w:rPr>
          <w:rFonts w:ascii="Times New Roman" w:hAnsi="Times New Roman"/>
          <w:spacing w:val="2"/>
          <w:sz w:val="24"/>
          <w:szCs w:val="24"/>
          <w:shd w:val="clear" w:color="auto" w:fill="FFFFFF"/>
          <w:lang w:val="en-US"/>
        </w:rPr>
        <w:t xml:space="preserve">. To achieve this aim, the </w:t>
      </w:r>
      <w:r w:rsidRPr="00373B8E">
        <w:rPr>
          <w:rFonts w:ascii="Times New Roman" w:hAnsi="Times New Roman"/>
          <w:sz w:val="24"/>
          <w:szCs w:val="24"/>
          <w:lang w:val="en-US"/>
        </w:rPr>
        <w:t>Villermaux-Dushman protocol was carried out for the micromixers with pressure measurements and then, the</w:t>
      </w:r>
      <w:r w:rsidRPr="00373B8E">
        <w:rPr>
          <w:rFonts w:ascii="Times New Roman" w:hAnsi="Times New Roman"/>
          <w:spacing w:val="2"/>
          <w:sz w:val="24"/>
          <w:szCs w:val="24"/>
          <w:shd w:val="clear" w:color="auto" w:fill="FFFFFF"/>
          <w:lang w:val="en-US"/>
        </w:rPr>
        <w:t xml:space="preserve"> absorbance values of mixed products from each of the micromixers, the </w:t>
      </w:r>
      <w:r w:rsidRPr="00373B8E">
        <w:rPr>
          <w:rFonts w:ascii="Times New Roman" w:hAnsi="Times New Roman"/>
          <w:sz w:val="24"/>
          <w:szCs w:val="24"/>
          <w:lang w:val="en-US"/>
        </w:rPr>
        <w:t>experimental and predicted mixing times</w:t>
      </w:r>
      <w:r w:rsidRPr="00373B8E">
        <w:rPr>
          <w:rFonts w:ascii="Times New Roman" w:hAnsi="Times New Roman"/>
          <w:spacing w:val="2"/>
          <w:sz w:val="24"/>
          <w:szCs w:val="24"/>
          <w:shd w:val="clear" w:color="auto" w:fill="FFFFFF"/>
          <w:lang w:val="en-US"/>
        </w:rPr>
        <w:t xml:space="preserve"> were compared at various Re values.</w:t>
      </w:r>
    </w:p>
    <w:p w:rsidR="00501847" w:rsidRPr="00BB71E6" w:rsidRDefault="00501847" w:rsidP="00577422">
      <w:pPr>
        <w:spacing w:after="0" w:line="360" w:lineRule="auto"/>
        <w:jc w:val="both"/>
        <w:rPr>
          <w:rFonts w:ascii="Times New Roman" w:hAnsi="Times New Roman"/>
          <w:sz w:val="24"/>
          <w:szCs w:val="24"/>
          <w:lang w:val="en-GB"/>
        </w:rPr>
      </w:pPr>
    </w:p>
    <w:p w:rsidR="00501847" w:rsidRPr="00BB71E6" w:rsidRDefault="00C3165D" w:rsidP="00EF041B">
      <w:pPr>
        <w:spacing w:after="0" w:line="360" w:lineRule="auto"/>
        <w:jc w:val="center"/>
        <w:rPr>
          <w:rFonts w:ascii="Times New Roman" w:hAnsi="Times New Roman"/>
          <w:sz w:val="24"/>
          <w:lang w:val="en-GB"/>
        </w:rPr>
      </w:pPr>
      <w:r>
        <w:rPr>
          <w:rFonts w:ascii="Times New Roman" w:hAnsi="Times New Roman"/>
          <w:sz w:val="24"/>
          <w:lang w:val="en-GB"/>
        </w:rPr>
        <w:t>MATERIALS AND METHODS</w:t>
      </w:r>
    </w:p>
    <w:p w:rsidR="00382D7A" w:rsidRPr="00382D7A" w:rsidRDefault="00382D7A" w:rsidP="00951C1B">
      <w:pPr>
        <w:spacing w:after="0" w:line="360" w:lineRule="auto"/>
        <w:rPr>
          <w:rFonts w:ascii="Times New Roman" w:hAnsi="Times New Roman"/>
          <w:i/>
          <w:spacing w:val="2"/>
          <w:sz w:val="24"/>
          <w:szCs w:val="24"/>
          <w:shd w:val="clear" w:color="auto" w:fill="FFFFFF"/>
          <w:lang w:val="en-US"/>
        </w:rPr>
      </w:pPr>
      <w:r w:rsidRPr="00382D7A">
        <w:rPr>
          <w:rFonts w:ascii="Times New Roman" w:hAnsi="Times New Roman"/>
          <w:i/>
          <w:spacing w:val="2"/>
          <w:sz w:val="24"/>
          <w:szCs w:val="24"/>
          <w:shd w:val="clear" w:color="auto" w:fill="FFFFFF"/>
          <w:lang w:val="en-US"/>
        </w:rPr>
        <w:t>Materials</w:t>
      </w:r>
    </w:p>
    <w:p w:rsidR="00382D7A" w:rsidRPr="00382D7A" w:rsidRDefault="00382D7A" w:rsidP="003C31C2">
      <w:pPr>
        <w:spacing w:after="0" w:line="360" w:lineRule="auto"/>
        <w:rPr>
          <w:rFonts w:ascii="Times New Roman" w:hAnsi="Times New Roman"/>
          <w:sz w:val="24"/>
          <w:szCs w:val="24"/>
          <w:lang w:val="en-US"/>
        </w:rPr>
      </w:pPr>
      <w:r w:rsidRPr="00382D7A">
        <w:rPr>
          <w:rFonts w:ascii="Times New Roman" w:hAnsi="Times New Roman"/>
          <w:sz w:val="24"/>
          <w:szCs w:val="24"/>
          <w:lang w:val="en-US"/>
        </w:rPr>
        <w:t xml:space="preserve">T, Y and arrow-shaped micromixers made by 3D printing, each with uniform internal diameter of 0.5 mm and length of 30 mm after confluence, were used in this study. Two syringes each of capacity 60 mL and diameter </w:t>
      </w:r>
      <w:r w:rsidRPr="00382D7A">
        <w:rPr>
          <w:rFonts w:ascii="Times New Roman" w:hAnsi="Times New Roman"/>
          <w:spacing w:val="2"/>
          <w:sz w:val="24"/>
          <w:szCs w:val="24"/>
          <w:shd w:val="clear" w:color="auto" w:fill="FFFFFF"/>
          <w:lang w:val="en-US"/>
        </w:rPr>
        <w:t>26.72 mm</w:t>
      </w:r>
      <w:r w:rsidRPr="00382D7A">
        <w:rPr>
          <w:rFonts w:ascii="Times New Roman" w:hAnsi="Times New Roman"/>
          <w:sz w:val="24"/>
          <w:szCs w:val="24"/>
          <w:lang w:val="en-US"/>
        </w:rPr>
        <w:t xml:space="preserve"> were used as feed storage tank. Other accessories such as G28 screws, teflon and small (micro) sized pipes were used for connection.</w:t>
      </w:r>
    </w:p>
    <w:p w:rsidR="00382D7A" w:rsidRPr="00382D7A" w:rsidRDefault="00382D7A" w:rsidP="003C31C2">
      <w:pPr>
        <w:spacing w:after="0" w:line="360" w:lineRule="auto"/>
        <w:rPr>
          <w:rFonts w:ascii="Times New Roman" w:hAnsi="Times New Roman"/>
          <w:sz w:val="24"/>
          <w:szCs w:val="24"/>
          <w:lang w:val="en-US"/>
        </w:rPr>
      </w:pPr>
      <w:r w:rsidRPr="00382D7A">
        <w:rPr>
          <w:rFonts w:ascii="Times New Roman" w:hAnsi="Times New Roman"/>
          <w:sz w:val="24"/>
          <w:szCs w:val="24"/>
          <w:lang w:val="en-US"/>
        </w:rPr>
        <w:t xml:space="preserve">The consumable chemicals, which include: sodium hydroxide pellets (product of AppliChem GmbH, Germany), 99 % pure potassium iodide (product of Chem-Lab NV, Belgium), boric acid (product of MP Biomedicals, LLC, France), potassium iodate (Rankem ™, RFCL Limited, India), </w:t>
      </w:r>
      <w:r w:rsidR="00623836">
        <w:rPr>
          <w:rFonts w:ascii="Times New Roman" w:hAnsi="Times New Roman"/>
          <w:sz w:val="24"/>
          <w:szCs w:val="24"/>
          <w:lang w:val="en-US"/>
        </w:rPr>
        <w:t xml:space="preserve">methanol </w:t>
      </w:r>
      <w:r w:rsidR="00623836" w:rsidRPr="00382D7A">
        <w:rPr>
          <w:rFonts w:ascii="Times New Roman" w:hAnsi="Times New Roman"/>
          <w:sz w:val="24"/>
          <w:szCs w:val="24"/>
          <w:lang w:val="en-US"/>
        </w:rPr>
        <w:t>(</w:t>
      </w:r>
      <w:r w:rsidR="00623836">
        <w:rPr>
          <w:rFonts w:ascii="Times New Roman" w:hAnsi="Times New Roman"/>
          <w:sz w:val="24"/>
          <w:szCs w:val="24"/>
          <w:lang w:val="en-US"/>
        </w:rPr>
        <w:t xml:space="preserve">&gt;99.9 %, </w:t>
      </w:r>
      <w:r w:rsidR="00623836" w:rsidRPr="00382D7A">
        <w:rPr>
          <w:rFonts w:ascii="Times New Roman" w:hAnsi="Times New Roman"/>
          <w:sz w:val="24"/>
          <w:szCs w:val="24"/>
          <w:lang w:val="en-US"/>
        </w:rPr>
        <w:t xml:space="preserve">product of Fisher Scientific UK) </w:t>
      </w:r>
      <w:r w:rsidRPr="00382D7A">
        <w:rPr>
          <w:rFonts w:ascii="Times New Roman" w:hAnsi="Times New Roman"/>
          <w:sz w:val="24"/>
          <w:szCs w:val="24"/>
          <w:lang w:val="en-US"/>
        </w:rPr>
        <w:t xml:space="preserve">and hydrochloric acid of 37% purity and specific gravity of 1.18 (product of Fisher Scientific UK) were all of analytical grade and accessed from Chemical and Petrochemical Engineering Laboratory, E-JUST, Egypt. </w:t>
      </w:r>
      <w:r w:rsidR="00595B2D">
        <w:rPr>
          <w:rFonts w:ascii="Times New Roman" w:hAnsi="Times New Roman"/>
          <w:sz w:val="24"/>
          <w:szCs w:val="24"/>
          <w:lang w:val="en-US"/>
        </w:rPr>
        <w:t>Hedeya cooking oil was purchased from Fathalla-Gomla Market, Borg El-Arab, Alexandria, Egypt.</w:t>
      </w:r>
    </w:p>
    <w:p w:rsidR="00382D7A" w:rsidRPr="00382D7A" w:rsidRDefault="00382D7A" w:rsidP="00D62503">
      <w:pPr>
        <w:spacing w:line="360" w:lineRule="auto"/>
        <w:rPr>
          <w:rFonts w:ascii="Times New Roman" w:hAnsi="Times New Roman"/>
          <w:sz w:val="24"/>
          <w:szCs w:val="24"/>
          <w:lang w:val="en-US"/>
        </w:rPr>
      </w:pPr>
      <w:r w:rsidRPr="00382D7A">
        <w:rPr>
          <w:rFonts w:ascii="Times New Roman" w:hAnsi="Times New Roman"/>
          <w:sz w:val="24"/>
          <w:szCs w:val="24"/>
          <w:lang w:val="en-US"/>
        </w:rPr>
        <w:t>Dual-syringe infusion pump (model: 115 VAC; Cole-Parmer ™, USA), KOBOLD Hand-Held Pressure Measuring Device for Differential Pressure for 2 External Sensors (HND-P215</w:t>
      </w:r>
      <w:r w:rsidR="00E7253F">
        <w:rPr>
          <w:rFonts w:ascii="Times New Roman" w:hAnsi="Times New Roman"/>
          <w:sz w:val="24"/>
          <w:szCs w:val="24"/>
          <w:lang w:val="en-US"/>
        </w:rPr>
        <w:t xml:space="preserve">; </w:t>
      </w:r>
      <w:r w:rsidR="00E7253F">
        <w:rPr>
          <w:rFonts w:ascii="Times New Roman" w:hAnsi="Times New Roman"/>
          <w:sz w:val="24"/>
          <w:szCs w:val="24"/>
          <w:lang w:val="en-US"/>
        </w:rPr>
        <w:lastRenderedPageBreak/>
        <w:t>with accuracy of 0.0005 psi</w:t>
      </w:r>
      <w:r w:rsidRPr="00382D7A">
        <w:rPr>
          <w:rFonts w:ascii="Times New Roman" w:hAnsi="Times New Roman"/>
          <w:sz w:val="24"/>
          <w:szCs w:val="24"/>
          <w:lang w:val="en-US"/>
        </w:rPr>
        <w:t>), 2 KOBOLD Pressure Sensors (HND-PS19) and HITACHI UV Spectrophotometer (U-3900</w:t>
      </w:r>
      <w:r w:rsidR="00AC7A49">
        <w:rPr>
          <w:rFonts w:ascii="Times New Roman" w:hAnsi="Times New Roman"/>
          <w:sz w:val="24"/>
          <w:szCs w:val="24"/>
          <w:lang w:val="en-US"/>
        </w:rPr>
        <w:t>; for absorbance measurement, with 0.0005 accuracy</w:t>
      </w:r>
      <w:r w:rsidRPr="00382D7A">
        <w:rPr>
          <w:rFonts w:ascii="Times New Roman" w:hAnsi="Times New Roman"/>
          <w:sz w:val="24"/>
          <w:szCs w:val="24"/>
          <w:lang w:val="en-US"/>
        </w:rPr>
        <w:t>) equipped with sample cell/cuvette of optical path length = 1cm, were accessed from different laboratories in E-JUST.</w:t>
      </w:r>
    </w:p>
    <w:p w:rsidR="00382D7A" w:rsidRPr="00382D7A" w:rsidRDefault="00382D7A" w:rsidP="00D62503">
      <w:pPr>
        <w:spacing w:after="0" w:line="360" w:lineRule="auto"/>
        <w:rPr>
          <w:rFonts w:ascii="Times New Roman" w:hAnsi="Times New Roman"/>
          <w:i/>
          <w:spacing w:val="2"/>
          <w:sz w:val="24"/>
          <w:szCs w:val="24"/>
          <w:shd w:val="clear" w:color="auto" w:fill="FFFFFF"/>
          <w:lang w:val="en-US"/>
        </w:rPr>
      </w:pPr>
      <w:r w:rsidRPr="00382D7A">
        <w:rPr>
          <w:rFonts w:ascii="Times New Roman" w:hAnsi="Times New Roman"/>
          <w:i/>
          <w:spacing w:val="2"/>
          <w:sz w:val="24"/>
          <w:szCs w:val="24"/>
          <w:shd w:val="clear" w:color="auto" w:fill="FFFFFF"/>
          <w:lang w:val="en-US"/>
        </w:rPr>
        <w:t>Methods</w:t>
      </w:r>
    </w:p>
    <w:p w:rsidR="00382D7A" w:rsidRPr="00382D7A" w:rsidRDefault="00382D7A" w:rsidP="003C31C2">
      <w:pPr>
        <w:spacing w:after="0" w:line="360" w:lineRule="auto"/>
        <w:rPr>
          <w:rFonts w:ascii="Times New Roman" w:hAnsi="Times New Roman"/>
          <w:sz w:val="24"/>
          <w:szCs w:val="24"/>
          <w:lang w:val="en-US"/>
        </w:rPr>
      </w:pPr>
      <w:r w:rsidRPr="00382D7A">
        <w:rPr>
          <w:rFonts w:ascii="Times New Roman" w:hAnsi="Times New Roman"/>
          <w:bCs/>
          <w:i/>
          <w:sz w:val="24"/>
          <w:szCs w:val="24"/>
          <w:lang w:val="en-US"/>
        </w:rPr>
        <w:t>Villermaux-Dushman experiment with pressure measurement</w:t>
      </w:r>
      <w:r w:rsidR="000F6C24">
        <w:rPr>
          <w:rFonts w:ascii="Times New Roman" w:hAnsi="Times New Roman"/>
          <w:bCs/>
          <w:i/>
          <w:sz w:val="24"/>
          <w:szCs w:val="24"/>
          <w:lang w:val="en-US"/>
        </w:rPr>
        <w:t>.</w:t>
      </w:r>
      <w:r w:rsidR="000F6C24">
        <w:rPr>
          <w:rFonts w:ascii="Times New Roman" w:hAnsi="Times New Roman"/>
          <w:bCs/>
          <w:sz w:val="24"/>
          <w:szCs w:val="24"/>
          <w:lang w:val="en-US"/>
        </w:rPr>
        <w:t xml:space="preserve"> </w:t>
      </w:r>
      <w:r w:rsidR="00C3165D" w:rsidRPr="00382D7A">
        <w:rPr>
          <w:rFonts w:ascii="Times New Roman" w:hAnsi="Times New Roman"/>
          <w:spacing w:val="2"/>
          <w:sz w:val="24"/>
          <w:szCs w:val="24"/>
          <w:shd w:val="clear" w:color="auto" w:fill="FFFFFF"/>
          <w:lang w:val="en-US"/>
        </w:rPr>
        <w:t xml:space="preserve">One liter each of the acid </w:t>
      </w:r>
      <w:r w:rsidR="00C3165D">
        <w:rPr>
          <w:rFonts w:ascii="Times New Roman" w:hAnsi="Times New Roman"/>
          <w:spacing w:val="2"/>
          <w:sz w:val="24"/>
          <w:szCs w:val="24"/>
          <w:shd w:val="clear" w:color="auto" w:fill="FFFFFF"/>
          <w:lang w:val="en-US"/>
        </w:rPr>
        <w:t>(</w:t>
      </w:r>
      <w:r w:rsidR="00C3165D" w:rsidRPr="00382D7A">
        <w:rPr>
          <w:rFonts w:ascii="Times New Roman" w:hAnsi="Times New Roman"/>
          <w:spacing w:val="2"/>
          <w:sz w:val="24"/>
          <w:szCs w:val="24"/>
          <w:lang w:val="en-US"/>
        </w:rPr>
        <w:t>0.03 M</w:t>
      </w:r>
      <w:r w:rsidR="00C3165D" w:rsidRPr="00382D7A">
        <w:rPr>
          <w:rFonts w:ascii="Times New Roman" w:hAnsi="Times New Roman"/>
          <w:spacing w:val="2"/>
          <w:sz w:val="24"/>
          <w:szCs w:val="24"/>
          <w:shd w:val="clear" w:color="auto" w:fill="FFFFFF"/>
          <w:lang w:val="en-US"/>
        </w:rPr>
        <w:t xml:space="preserve"> a</w:t>
      </w:r>
      <w:r w:rsidR="00C3165D" w:rsidRPr="00382D7A">
        <w:rPr>
          <w:rFonts w:ascii="Times New Roman" w:hAnsi="Times New Roman"/>
          <w:sz w:val="24"/>
          <w:szCs w:val="24"/>
          <w:lang w:val="en-US"/>
        </w:rPr>
        <w:t>queous HCl</w:t>
      </w:r>
      <w:r w:rsidR="00C3165D">
        <w:rPr>
          <w:rFonts w:ascii="Times New Roman" w:hAnsi="Times New Roman"/>
          <w:spacing w:val="2"/>
          <w:sz w:val="24"/>
          <w:szCs w:val="24"/>
          <w:shd w:val="clear" w:color="auto" w:fill="FFFFFF"/>
          <w:lang w:val="en-US"/>
        </w:rPr>
        <w:t xml:space="preserve">) </w:t>
      </w:r>
      <w:r w:rsidR="00C3165D" w:rsidRPr="00382D7A">
        <w:rPr>
          <w:rFonts w:ascii="Times New Roman" w:hAnsi="Times New Roman"/>
          <w:spacing w:val="2"/>
          <w:sz w:val="24"/>
          <w:szCs w:val="24"/>
          <w:shd w:val="clear" w:color="auto" w:fill="FFFFFF"/>
          <w:lang w:val="en-US"/>
        </w:rPr>
        <w:t>and buffer</w:t>
      </w:r>
      <w:r w:rsidR="00C3165D">
        <w:rPr>
          <w:rFonts w:ascii="Times New Roman" w:hAnsi="Times New Roman"/>
          <w:spacing w:val="2"/>
          <w:sz w:val="24"/>
          <w:szCs w:val="24"/>
          <w:shd w:val="clear" w:color="auto" w:fill="FFFFFF"/>
          <w:lang w:val="en-US"/>
        </w:rPr>
        <w:t xml:space="preserve"> (</w:t>
      </w:r>
      <w:r w:rsidR="00C3165D" w:rsidRPr="00382D7A">
        <w:rPr>
          <w:rFonts w:ascii="Times New Roman" w:hAnsi="Times New Roman"/>
          <w:sz w:val="24"/>
          <w:szCs w:val="24"/>
          <w:lang w:val="en-US"/>
        </w:rPr>
        <w:t>0.09 M H</w:t>
      </w:r>
      <w:r w:rsidR="00C3165D" w:rsidRPr="00382D7A">
        <w:rPr>
          <w:rFonts w:ascii="Times New Roman" w:hAnsi="Times New Roman"/>
          <w:sz w:val="24"/>
          <w:szCs w:val="24"/>
          <w:vertAlign w:val="subscript"/>
          <w:lang w:val="en-US"/>
        </w:rPr>
        <w:t>3</w:t>
      </w:r>
      <w:r w:rsidR="00C3165D" w:rsidRPr="00382D7A">
        <w:rPr>
          <w:rFonts w:ascii="Times New Roman" w:hAnsi="Times New Roman"/>
          <w:sz w:val="24"/>
          <w:szCs w:val="24"/>
          <w:lang w:val="en-US"/>
        </w:rPr>
        <w:t>BO</w:t>
      </w:r>
      <w:r w:rsidR="00C3165D" w:rsidRPr="00382D7A">
        <w:rPr>
          <w:rFonts w:ascii="Times New Roman" w:hAnsi="Times New Roman"/>
          <w:sz w:val="24"/>
          <w:szCs w:val="24"/>
          <w:vertAlign w:val="subscript"/>
          <w:lang w:val="en-US"/>
        </w:rPr>
        <w:t>3 (aq)</w:t>
      </w:r>
      <w:r w:rsidR="00C3165D" w:rsidRPr="00382D7A">
        <w:rPr>
          <w:rFonts w:ascii="Times New Roman" w:hAnsi="Times New Roman"/>
          <w:sz w:val="24"/>
          <w:szCs w:val="24"/>
          <w:lang w:val="en-US"/>
        </w:rPr>
        <w:t xml:space="preserve">, 0.09 M NaOH </w:t>
      </w:r>
      <w:r w:rsidR="00C3165D" w:rsidRPr="00382D7A">
        <w:rPr>
          <w:rFonts w:ascii="Times New Roman" w:hAnsi="Times New Roman"/>
          <w:sz w:val="24"/>
          <w:szCs w:val="24"/>
          <w:vertAlign w:val="subscript"/>
          <w:lang w:val="en-US"/>
        </w:rPr>
        <w:t>(aq)</w:t>
      </w:r>
      <w:r w:rsidR="00C3165D" w:rsidRPr="00382D7A">
        <w:rPr>
          <w:rFonts w:ascii="Times New Roman" w:hAnsi="Times New Roman"/>
          <w:sz w:val="24"/>
          <w:szCs w:val="24"/>
          <w:lang w:val="en-US"/>
        </w:rPr>
        <w:t>, 0.006 M KIO</w:t>
      </w:r>
      <w:r w:rsidR="00C3165D" w:rsidRPr="00382D7A">
        <w:rPr>
          <w:rFonts w:ascii="Times New Roman" w:hAnsi="Times New Roman"/>
          <w:sz w:val="24"/>
          <w:szCs w:val="24"/>
          <w:vertAlign w:val="subscript"/>
          <w:lang w:val="en-US"/>
        </w:rPr>
        <w:t>3 (aq)</w:t>
      </w:r>
      <w:r w:rsidR="00C3165D" w:rsidRPr="00382D7A">
        <w:rPr>
          <w:rFonts w:ascii="Times New Roman" w:hAnsi="Times New Roman"/>
          <w:sz w:val="24"/>
          <w:szCs w:val="24"/>
          <w:lang w:val="en-US"/>
        </w:rPr>
        <w:t xml:space="preserve"> and 0.032 M KI </w:t>
      </w:r>
      <w:r w:rsidR="00C3165D" w:rsidRPr="00382D7A">
        <w:rPr>
          <w:rFonts w:ascii="Times New Roman" w:hAnsi="Times New Roman"/>
          <w:sz w:val="24"/>
          <w:szCs w:val="24"/>
          <w:vertAlign w:val="subscript"/>
          <w:lang w:val="en-US"/>
        </w:rPr>
        <w:t>(aq)</w:t>
      </w:r>
      <w:r w:rsidR="00C3165D">
        <w:rPr>
          <w:rFonts w:ascii="Times New Roman" w:hAnsi="Times New Roman"/>
          <w:spacing w:val="2"/>
          <w:sz w:val="24"/>
          <w:szCs w:val="24"/>
          <w:shd w:val="clear" w:color="auto" w:fill="FFFFFF"/>
          <w:lang w:val="en-US"/>
        </w:rPr>
        <w:t>)</w:t>
      </w:r>
      <w:r w:rsidR="00C3165D" w:rsidRPr="00382D7A">
        <w:rPr>
          <w:rFonts w:ascii="Times New Roman" w:hAnsi="Times New Roman"/>
          <w:spacing w:val="2"/>
          <w:sz w:val="24"/>
          <w:szCs w:val="24"/>
          <w:shd w:val="clear" w:color="auto" w:fill="FFFFFF"/>
          <w:lang w:val="en-US"/>
        </w:rPr>
        <w:t xml:space="preserve"> solutions for Villermaux-Dushman reaction were prepared and labeled solution 1 and solution 2 respectively</w:t>
      </w:r>
      <w:r w:rsidR="00FE47A8">
        <w:rPr>
          <w:rFonts w:ascii="Times New Roman" w:hAnsi="Times New Roman"/>
          <w:spacing w:val="2"/>
          <w:sz w:val="24"/>
          <w:szCs w:val="24"/>
          <w:shd w:val="clear" w:color="auto" w:fill="FFFFFF"/>
          <w:lang w:val="en-US"/>
        </w:rPr>
        <w:t>.</w:t>
      </w:r>
      <w:r w:rsidR="00C3165D" w:rsidRPr="00382D7A">
        <w:rPr>
          <w:rFonts w:ascii="Times New Roman" w:hAnsi="Times New Roman"/>
          <w:sz w:val="24"/>
          <w:szCs w:val="24"/>
          <w:lang w:val="en-US"/>
        </w:rPr>
        <w:fldChar w:fldCharType="begin" w:fldLock="1"/>
      </w:r>
      <w:r w:rsidR="001312F9">
        <w:rPr>
          <w:rFonts w:ascii="Times New Roman" w:hAnsi="Times New Roman"/>
          <w:sz w:val="24"/>
          <w:szCs w:val="24"/>
          <w:lang w:val="en-US"/>
        </w:rPr>
        <w:instrText>ADDIN CSL_CITATION {"citationItems":[{"id":"ITEM-1","itemData":{"DOI":"10.1039/c7re00051k","ISSN":"20589883","abstract":"We extensively examined the performance of microjet mixers.We extensively examined and discussed the performance of microjet mixers that consisted of two concentrically arranged tubes. The orientation of the feed streams with respect to the inner and outer inlets was the crucial factor for promoting the desired reaction. The Reynolds number after jetting and the velocity ratio of the inner and outer fluids were the key variables for promoting vigorous jetting and efficient mixing. By choosing the appropriate operating conditions, the microjet mixers exhibited excellent performance. The design protocol for microjet mixers was established based on mixing time measurements. We successfully maximized the throughput in one channel and numbered-up the microjet mixers. The microjet mixers also proved to be useful for treating viscous fluids with the appropriate choice of the feed orientation. The complete mixing of water with a 200 times more viscous fluid was achieved in 20 ms.","author":[{"dropping-particle":"","family":"Asano","given":"S.","non-dropping-particle":"","parse-names":false,"suffix":""},{"dropping-particle":"","family":"Yamada","given":"S.","non-dropping-particle":"","parse-names":false,"suffix":""},{"dropping-particle":"","family":"Maki","given":"T.","non-dropping-particle":"","parse-names":false,"suffix":""},{"dropping-particle":"","family":"Muranaka","given":"Y.","non-dropping-particle":"","parse-names":false,"suffix":""},{"dropping-particle":"","family":"Mae","given":"K.","non-dropping-particle":"","parse-names":false,"suffix":""}],"container-title":"Reaction Chemistry &amp; Engineering","id":"ITEM-1","issue":"6","issued":{"date-parts":[["2017"]]},"page":"830-841","title":"Design protocol of microjet mixers for achieving desirable mixing times with arbitrary flow rate ratios","type":"article-journal","volume":"2"},"uris":["http://www.mendeley.com/documents/?uuid=c2c3ce71-435e-4cef-8c8d-19e4b91e7f44"]},{"id":"ITEM-2","itemData":{"DOI":"10.13140/RG.2.2.33028.83847/1","abstract":"Mixing is desired in many chemical processes. The performance of a mixing device is commonly assessed using the Villermaux-Dushman test reaction. This study was aimed at comparing the mixing performances of T, Y and arrow-shaped micromixers by employing the iodide/iodate test reaction method of Villermaux-Dushman at very low Reynolds numbers (below 22). Test solutions were fed through T, Y and arrow-shaped micromixers of 0.5 mm uniform diameter at different volume flow rates. By comparison of absorbance values of products from the three mixers, Y-shaped micromixer gave the best mixing performance at volume flow rates below 15 mL/hr. The performance was approximately the same for the three mixers at flow rate of 3 mL/hr. Absorbance values of the micromixed fluids were found to decrease with time. The discussion of results revealed a lot of anomalies with respect to usual results at higher flow rates therefore reasonable conclusion could not be made. It was recommended that the study be repeated with the inclusion of mixing time for results verification and adoption of on-line means of absorbance measurement for more accurate results.","author":[{"dropping-particle":"","family":"Okwundu","given":"Onyeka","non-dropping-particle":"","parse-names":false,"suffix":""},{"dropping-particle":"","family":"Fuseini","given":"Mohammed","non-dropping-particle":"","parse-names":false,"suffix":""}],"id":"ITEM-2","issue":"May","issued":{"date-parts":[["2018"]]},"number-of-pages":"1-23","title":"Mixing performance of micromixers by Villermaux-Dushman reaction protocol at low Reynolds Number","type":"report"},"uris":["http://www.mendeley.com/documents/?uuid=b6a53bc4-ac5a-4bcc-a8f5-00abe2ebae48"]}],"mendeley":{"formattedCitation":"&lt;sup&gt;11,12&lt;/sup&gt;","plainTextFormattedCitation":"11,12","previouslyFormattedCitation":"&lt;sup&gt;11,12&lt;/sup&gt;"},"properties":{"noteIndex":0},"schema":"https://github.com/citation-style-language/schema/raw/master/csl-citation.json"}</w:instrText>
      </w:r>
      <w:r w:rsidR="00C3165D" w:rsidRPr="00382D7A">
        <w:rPr>
          <w:rFonts w:ascii="Times New Roman" w:hAnsi="Times New Roman"/>
          <w:sz w:val="24"/>
          <w:szCs w:val="24"/>
          <w:lang w:val="en-US"/>
        </w:rPr>
        <w:fldChar w:fldCharType="separate"/>
      </w:r>
      <w:r w:rsidR="005B153C" w:rsidRPr="005B153C">
        <w:rPr>
          <w:rFonts w:ascii="Times New Roman" w:hAnsi="Times New Roman"/>
          <w:noProof/>
          <w:sz w:val="24"/>
          <w:szCs w:val="24"/>
          <w:vertAlign w:val="superscript"/>
          <w:lang w:val="en-US"/>
        </w:rPr>
        <w:t>11,12</w:t>
      </w:r>
      <w:r w:rsidR="00C3165D" w:rsidRPr="00382D7A">
        <w:rPr>
          <w:rFonts w:ascii="Times New Roman" w:hAnsi="Times New Roman"/>
          <w:sz w:val="24"/>
          <w:szCs w:val="24"/>
          <w:lang w:val="en-US"/>
        </w:rPr>
        <w:fldChar w:fldCharType="end"/>
      </w:r>
      <w:r w:rsidR="00C3165D">
        <w:rPr>
          <w:rFonts w:ascii="Times New Roman" w:hAnsi="Times New Roman"/>
          <w:sz w:val="24"/>
          <w:szCs w:val="24"/>
          <w:lang w:val="en-US"/>
        </w:rPr>
        <w:t xml:space="preserve"> Two </w:t>
      </w:r>
      <w:r w:rsidRPr="00382D7A">
        <w:rPr>
          <w:rFonts w:ascii="Times New Roman" w:hAnsi="Times New Roman"/>
          <w:sz w:val="24"/>
          <w:szCs w:val="24"/>
          <w:lang w:val="en-US"/>
        </w:rPr>
        <w:t xml:space="preserve">60 mL syringes </w:t>
      </w:r>
      <w:r w:rsidR="00C3165D">
        <w:rPr>
          <w:rFonts w:ascii="Times New Roman" w:hAnsi="Times New Roman"/>
          <w:sz w:val="24"/>
          <w:szCs w:val="24"/>
          <w:lang w:val="en-US"/>
        </w:rPr>
        <w:t xml:space="preserve">were </w:t>
      </w:r>
      <w:r w:rsidRPr="00382D7A">
        <w:rPr>
          <w:rFonts w:ascii="Times New Roman" w:hAnsi="Times New Roman"/>
          <w:sz w:val="24"/>
          <w:szCs w:val="24"/>
          <w:lang w:val="en-US"/>
        </w:rPr>
        <w:t>filled with solutions 1 and 2, labeled and clamped onto the dual syringe pump. The Y-mixer was connected with two pressu</w:t>
      </w:r>
      <w:r w:rsidR="00C3165D">
        <w:rPr>
          <w:rFonts w:ascii="Times New Roman" w:hAnsi="Times New Roman"/>
          <w:sz w:val="24"/>
          <w:szCs w:val="24"/>
          <w:lang w:val="en-US"/>
        </w:rPr>
        <w:t>re probes (sensors) at</w:t>
      </w:r>
      <w:r w:rsidRPr="00382D7A">
        <w:rPr>
          <w:rFonts w:ascii="Times New Roman" w:hAnsi="Times New Roman"/>
          <w:sz w:val="24"/>
          <w:szCs w:val="24"/>
          <w:lang w:val="en-US"/>
        </w:rPr>
        <w:t xml:space="preserve"> the mixer inlet and outlet pipes. The experimental set-up is as shown in Fig. 1a. Fig. 1b shows details of the micro-channels of the Y, T and arrow-shaped micromixers showing the confluence shapes and angular deviation of fluid streams at point of confluence (with flow directions).</w:t>
      </w:r>
    </w:p>
    <w:p w:rsidR="00A31402" w:rsidRPr="00382D7A" w:rsidRDefault="00EF1D11" w:rsidP="000F6C24">
      <w:pPr>
        <w:spacing w:after="0" w:line="360" w:lineRule="auto"/>
        <w:rPr>
          <w:rFonts w:ascii="Times New Roman" w:hAnsi="Times New Roman"/>
          <w:spacing w:val="2"/>
          <w:sz w:val="24"/>
          <w:szCs w:val="24"/>
          <w:shd w:val="clear" w:color="auto" w:fill="FFFFFF"/>
          <w:lang w:val="en-US"/>
        </w:rPr>
      </w:pPr>
      <w:r w:rsidRPr="00EF1D11">
        <w:rPr>
          <w:rFonts w:ascii="Times New Roman" w:hAnsi="Times New Roman"/>
          <w:noProof/>
          <w:spacing w:val="2"/>
          <w:sz w:val="24"/>
          <w:szCs w:val="24"/>
          <w:shd w:val="clear" w:color="auto" w:fill="FFFFFF"/>
          <w:lang w:val="en-US"/>
        </w:rPr>
        <w:drawing>
          <wp:inline distT="0" distB="0" distL="0" distR="0">
            <wp:extent cx="5654862" cy="3419475"/>
            <wp:effectExtent l="0" t="0" r="3175" b="0"/>
            <wp:docPr id="2" name="Picture 2" descr="C:\Users\user\Desktop\micromix\Fig. 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micromix\Fig. 1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0905" cy="3465458"/>
                    </a:xfrm>
                    <a:prstGeom prst="rect">
                      <a:avLst/>
                    </a:prstGeom>
                    <a:noFill/>
                    <a:ln>
                      <a:noFill/>
                    </a:ln>
                  </pic:spPr>
                </pic:pic>
              </a:graphicData>
            </a:graphic>
          </wp:inline>
        </w:drawing>
      </w:r>
    </w:p>
    <w:p w:rsidR="00A31402" w:rsidRDefault="00382D7A" w:rsidP="00EF1D11">
      <w:pPr>
        <w:spacing w:after="0" w:line="360" w:lineRule="auto"/>
        <w:rPr>
          <w:rFonts w:ascii="Times New Roman" w:hAnsi="Times New Roman"/>
          <w:bCs/>
          <w:sz w:val="24"/>
          <w:szCs w:val="24"/>
          <w:lang w:val="en-US"/>
        </w:rPr>
      </w:pPr>
      <w:r w:rsidRPr="00382D7A">
        <w:rPr>
          <w:rFonts w:ascii="Times New Roman" w:hAnsi="Times New Roman"/>
          <w:sz w:val="24"/>
          <w:szCs w:val="24"/>
          <w:lang w:val="en-US"/>
        </w:rPr>
        <w:t>Fig. 1a</w:t>
      </w:r>
      <w:r w:rsidR="00951C1B" w:rsidRPr="00951C1B">
        <w:rPr>
          <w:rFonts w:ascii="Times New Roman" w:hAnsi="Times New Roman"/>
          <w:sz w:val="24"/>
          <w:szCs w:val="24"/>
          <w:lang w:val="en-US"/>
        </w:rPr>
        <w:t>.</w:t>
      </w:r>
      <w:r w:rsidRPr="00382D7A">
        <w:rPr>
          <w:rFonts w:ascii="Times New Roman" w:hAnsi="Times New Roman"/>
          <w:sz w:val="24"/>
          <w:szCs w:val="24"/>
          <w:lang w:val="en-US"/>
        </w:rPr>
        <w:t xml:space="preserve"> Schematic diagram of the experimental set-up</w:t>
      </w:r>
      <w:r w:rsidRPr="00382D7A">
        <w:rPr>
          <w:rFonts w:ascii="Times New Roman" w:hAnsi="Times New Roman"/>
          <w:bCs/>
          <w:sz w:val="24"/>
          <w:szCs w:val="24"/>
          <w:lang w:val="en-US"/>
        </w:rPr>
        <w:t xml:space="preserve"> </w:t>
      </w:r>
    </w:p>
    <w:p w:rsidR="00EF1D11" w:rsidRPr="00EF1D11" w:rsidRDefault="00EF1D11" w:rsidP="00EF1D11">
      <w:pPr>
        <w:spacing w:after="0" w:line="360" w:lineRule="auto"/>
        <w:rPr>
          <w:rFonts w:ascii="Times New Roman" w:hAnsi="Times New Roman"/>
          <w:bCs/>
          <w:sz w:val="24"/>
          <w:szCs w:val="24"/>
          <w:lang w:val="en-US"/>
        </w:rPr>
      </w:pPr>
      <w:r w:rsidRPr="00EF1D11">
        <w:rPr>
          <w:rFonts w:ascii="Times New Roman" w:hAnsi="Times New Roman"/>
          <w:bCs/>
          <w:noProof/>
          <w:sz w:val="24"/>
          <w:szCs w:val="24"/>
          <w:lang w:val="en-US"/>
        </w:rPr>
        <w:lastRenderedPageBreak/>
        <w:drawing>
          <wp:inline distT="0" distB="0" distL="0" distR="0">
            <wp:extent cx="4552725" cy="1752600"/>
            <wp:effectExtent l="0" t="0" r="635" b="0"/>
            <wp:docPr id="3" name="Picture 3" descr="C:\Users\user\Desktop\micromix\Fig. 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micromix\Fig. 1b.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71494" cy="1798321"/>
                    </a:xfrm>
                    <a:prstGeom prst="rect">
                      <a:avLst/>
                    </a:prstGeom>
                    <a:noFill/>
                    <a:ln>
                      <a:noFill/>
                    </a:ln>
                  </pic:spPr>
                </pic:pic>
              </a:graphicData>
            </a:graphic>
          </wp:inline>
        </w:drawing>
      </w:r>
    </w:p>
    <w:p w:rsidR="00382D7A" w:rsidRPr="00382D7A" w:rsidRDefault="00951C1B" w:rsidP="00382D7A">
      <w:pPr>
        <w:spacing w:line="360" w:lineRule="auto"/>
        <w:rPr>
          <w:rFonts w:ascii="Times New Roman" w:hAnsi="Times New Roman"/>
          <w:sz w:val="24"/>
          <w:szCs w:val="24"/>
          <w:lang w:val="en-US"/>
        </w:rPr>
      </w:pPr>
      <w:r>
        <w:rPr>
          <w:rFonts w:ascii="Times New Roman" w:hAnsi="Times New Roman"/>
          <w:bCs/>
          <w:sz w:val="24"/>
          <w:szCs w:val="24"/>
          <w:lang w:val="en-US"/>
        </w:rPr>
        <w:t>Fig. 1b.</w:t>
      </w:r>
      <w:r w:rsidR="00382D7A" w:rsidRPr="00382D7A">
        <w:rPr>
          <w:rFonts w:ascii="Times New Roman" w:hAnsi="Times New Roman"/>
          <w:bCs/>
          <w:sz w:val="24"/>
          <w:szCs w:val="24"/>
          <w:lang w:val="en-US"/>
        </w:rPr>
        <w:t xml:space="preserve"> Illustrative details of the micro-channels of the mixers showing the confluence shapes and angular deviations (60, 90 and 120</w:t>
      </w:r>
      <w:r w:rsidR="00382D7A" w:rsidRPr="00382D7A">
        <w:rPr>
          <w:rFonts w:ascii="Times New Roman" w:hAnsi="Times New Roman"/>
          <w:bCs/>
          <w:sz w:val="24"/>
          <w:szCs w:val="24"/>
          <w:vertAlign w:val="superscript"/>
          <w:lang w:val="en-US"/>
        </w:rPr>
        <w:t>o</w:t>
      </w:r>
      <w:r w:rsidR="00382D7A" w:rsidRPr="00382D7A">
        <w:rPr>
          <w:rFonts w:ascii="Times New Roman" w:hAnsi="Times New Roman"/>
          <w:bCs/>
          <w:sz w:val="24"/>
          <w:szCs w:val="24"/>
          <w:lang w:val="en-US"/>
        </w:rPr>
        <w:t>) of fluid streams at point of confluence.</w:t>
      </w:r>
    </w:p>
    <w:p w:rsidR="00382D7A" w:rsidRPr="00382D7A" w:rsidRDefault="00382D7A" w:rsidP="00951C1B">
      <w:pPr>
        <w:spacing w:after="0" w:line="360" w:lineRule="auto"/>
        <w:rPr>
          <w:rFonts w:ascii="Times New Roman" w:hAnsi="Times New Roman"/>
          <w:sz w:val="24"/>
          <w:szCs w:val="24"/>
          <w:lang w:val="en-US"/>
        </w:rPr>
      </w:pPr>
      <w:r w:rsidRPr="00382D7A">
        <w:rPr>
          <w:rFonts w:ascii="Times New Roman" w:hAnsi="Times New Roman"/>
          <w:sz w:val="24"/>
          <w:szCs w:val="24"/>
          <w:lang w:val="en-US"/>
        </w:rPr>
        <w:t xml:space="preserve">The syringe pump was switched on and set to: volume, diameter and flow rate of 60 mL, </w:t>
      </w:r>
      <w:r w:rsidRPr="00382D7A">
        <w:rPr>
          <w:rFonts w:ascii="Times New Roman" w:hAnsi="Times New Roman"/>
          <w:spacing w:val="2"/>
          <w:sz w:val="24"/>
          <w:szCs w:val="24"/>
          <w:shd w:val="clear" w:color="auto" w:fill="FFFFFF"/>
          <w:lang w:val="en-US"/>
        </w:rPr>
        <w:t>26.72 mm and 500 mL/hr respectively. Afterwards, the pump was run. Pressure readings were taken after the flow had attained steady state (as indicated by constant pressure readings), while 2 mL of mixed sample was collected after discarding the first 20 mL that flowed out in order to ensure steady concentration. UV absorbance of the collected sample was measured as fast as possible within the set wavelength range of 320 to 370 nm, and recorded. Next, the flow rate was successively changed to 400, 300, 250, 200, 150, 100, 70, 50, 30, 15, 7 and 1 mL/hr while repeating the same mixing performance characterization procedure each time. Afterwards, the Y-mixer was replaced with T-mixer and then arrow-shaped mixer while repeating the same procedure.</w:t>
      </w:r>
      <w:r w:rsidRPr="00382D7A">
        <w:rPr>
          <w:rFonts w:ascii="Times New Roman" w:hAnsi="Times New Roman"/>
          <w:sz w:val="24"/>
          <w:szCs w:val="24"/>
          <w:lang w:val="en-US"/>
        </w:rPr>
        <w:t xml:space="preserve"> Syringes 1 and 2 were refilled with solutions 1 and 2 respectively each time their content reduced below 25 mL.</w:t>
      </w:r>
    </w:p>
    <w:p w:rsidR="00382D7A" w:rsidRPr="00382D7A" w:rsidRDefault="00382D7A" w:rsidP="00951C1B">
      <w:pPr>
        <w:spacing w:after="0" w:line="360" w:lineRule="auto"/>
        <w:rPr>
          <w:rFonts w:ascii="Times New Roman" w:hAnsi="Times New Roman"/>
          <w:sz w:val="24"/>
          <w:szCs w:val="24"/>
          <w:lang w:val="en-US"/>
        </w:rPr>
      </w:pPr>
      <w:r w:rsidRPr="00382D7A">
        <w:rPr>
          <w:rFonts w:ascii="Times New Roman" w:hAnsi="Times New Roman"/>
          <w:sz w:val="24"/>
          <w:szCs w:val="24"/>
          <w:lang w:val="en-US"/>
        </w:rPr>
        <w:t xml:space="preserve">All through the experiment, the connected micromixer was fixed at a horizontal position with the pressure probes maintained at the same position to avoid changes in pressure head (variation in hydraulic pressure with height). The upper limit of flow rate used in this study (500 mL/hr) was fixed by the maximum pressure limit (5.8 psi) of the KOBOLD (HND-PS19) pressure sensors while the lower limit (1 mL/hr) was fixed by time consideration. </w:t>
      </w:r>
    </w:p>
    <w:p w:rsidR="00382D7A" w:rsidRPr="00382D7A" w:rsidRDefault="00382D7A" w:rsidP="00382D7A">
      <w:pPr>
        <w:spacing w:line="360" w:lineRule="auto"/>
        <w:rPr>
          <w:rFonts w:ascii="Times New Roman" w:hAnsi="Times New Roman"/>
          <w:b/>
          <w:sz w:val="24"/>
          <w:szCs w:val="24"/>
          <w:lang w:val="en-US"/>
        </w:rPr>
      </w:pPr>
      <w:r w:rsidRPr="00382D7A">
        <w:rPr>
          <w:rFonts w:ascii="Times New Roman" w:hAnsi="Times New Roman"/>
          <w:sz w:val="24"/>
          <w:szCs w:val="24"/>
          <w:lang w:val="en-US"/>
        </w:rPr>
        <w:t>Finally, mixing performance of the micromixers was assessed based on UV absorbance, predicted mixing time (t</w:t>
      </w:r>
      <w:r w:rsidRPr="00382D7A">
        <w:rPr>
          <w:rFonts w:ascii="Times New Roman" w:hAnsi="Times New Roman"/>
          <w:sz w:val="24"/>
          <w:szCs w:val="24"/>
          <w:vertAlign w:val="subscript"/>
          <w:lang w:val="en-US"/>
        </w:rPr>
        <w:t>mp</w:t>
      </w:r>
      <w:r w:rsidRPr="00382D7A">
        <w:rPr>
          <w:rFonts w:ascii="Times New Roman" w:hAnsi="Times New Roman"/>
          <w:sz w:val="24"/>
          <w:szCs w:val="24"/>
          <w:lang w:val="en-US"/>
        </w:rPr>
        <w:t>) and experimental mixing time (t</w:t>
      </w:r>
      <w:r w:rsidRPr="00382D7A">
        <w:rPr>
          <w:rFonts w:ascii="Times New Roman" w:hAnsi="Times New Roman"/>
          <w:sz w:val="24"/>
          <w:szCs w:val="24"/>
          <w:vertAlign w:val="subscript"/>
          <w:lang w:val="en-US"/>
        </w:rPr>
        <w:t>m</w:t>
      </w:r>
      <w:r w:rsidRPr="00382D7A">
        <w:rPr>
          <w:rFonts w:ascii="Times New Roman" w:hAnsi="Times New Roman"/>
          <w:sz w:val="24"/>
          <w:szCs w:val="24"/>
          <w:lang w:val="en-US"/>
        </w:rPr>
        <w:t>). The density and viscosity of the dilute solutions used in the experiment were assumed to be the same as that of water (approximately 1 g/cm</w:t>
      </w:r>
      <w:r w:rsidRPr="00382D7A">
        <w:rPr>
          <w:rFonts w:ascii="Times New Roman" w:hAnsi="Times New Roman"/>
          <w:sz w:val="24"/>
          <w:szCs w:val="24"/>
          <w:vertAlign w:val="superscript"/>
          <w:lang w:val="en-US"/>
        </w:rPr>
        <w:t>3</w:t>
      </w:r>
      <w:r w:rsidRPr="00382D7A">
        <w:rPr>
          <w:rFonts w:ascii="Times New Roman" w:hAnsi="Times New Roman"/>
          <w:sz w:val="24"/>
          <w:szCs w:val="24"/>
          <w:lang w:val="en-US"/>
        </w:rPr>
        <w:t xml:space="preserve"> and 1 cP respectively). With these solution fluid parameters, together with the micro-channel dimension, it was possible to express flows in dimensionless form as Re.</w:t>
      </w:r>
    </w:p>
    <w:p w:rsidR="00501847" w:rsidRDefault="00501847" w:rsidP="00EF041B">
      <w:pPr>
        <w:tabs>
          <w:tab w:val="left" w:pos="3299"/>
        </w:tabs>
        <w:spacing w:after="0" w:line="360" w:lineRule="auto"/>
        <w:jc w:val="center"/>
        <w:rPr>
          <w:rFonts w:ascii="Times New Roman" w:hAnsi="Times New Roman"/>
          <w:sz w:val="24"/>
          <w:lang w:val="en-GB"/>
        </w:rPr>
      </w:pPr>
      <w:r w:rsidRPr="002413B3">
        <w:rPr>
          <w:rFonts w:ascii="Times New Roman" w:hAnsi="Times New Roman"/>
          <w:sz w:val="24"/>
          <w:lang w:val="en-GB"/>
        </w:rPr>
        <w:t>RESULTS AND DISCUSSION</w:t>
      </w:r>
    </w:p>
    <w:p w:rsidR="009134EF" w:rsidRPr="009134EF" w:rsidRDefault="009134EF" w:rsidP="009134EF">
      <w:pPr>
        <w:spacing w:after="0" w:line="360" w:lineRule="auto"/>
        <w:rPr>
          <w:rFonts w:ascii="Times New Roman" w:hAnsi="Times New Roman"/>
          <w:i/>
          <w:spacing w:val="2"/>
          <w:sz w:val="24"/>
          <w:szCs w:val="24"/>
          <w:shd w:val="clear" w:color="auto" w:fill="FFFFFF"/>
          <w:lang w:val="en-US"/>
        </w:rPr>
      </w:pPr>
      <w:r w:rsidRPr="009134EF">
        <w:rPr>
          <w:rFonts w:ascii="Times New Roman" w:hAnsi="Times New Roman"/>
          <w:i/>
          <w:spacing w:val="2"/>
          <w:sz w:val="24"/>
          <w:szCs w:val="24"/>
          <w:shd w:val="clear" w:color="auto" w:fill="FFFFFF"/>
          <w:lang w:val="en-US"/>
        </w:rPr>
        <w:t>Mixing performance characterization based on UV absorbance values</w:t>
      </w:r>
    </w:p>
    <w:p w:rsidR="009134EF" w:rsidRPr="009134EF" w:rsidRDefault="009134EF" w:rsidP="009134EF">
      <w:pPr>
        <w:spacing w:after="0" w:line="360" w:lineRule="auto"/>
        <w:rPr>
          <w:rFonts w:ascii="Times New Roman" w:hAnsi="Times New Roman"/>
          <w:spacing w:val="2"/>
          <w:sz w:val="24"/>
          <w:szCs w:val="24"/>
          <w:shd w:val="clear" w:color="auto" w:fill="FFFFFF"/>
          <w:lang w:val="en-US"/>
        </w:rPr>
      </w:pPr>
      <w:r w:rsidRPr="009134EF">
        <w:rPr>
          <w:rFonts w:ascii="Times New Roman" w:hAnsi="Times New Roman"/>
          <w:spacing w:val="2"/>
          <w:sz w:val="24"/>
          <w:szCs w:val="24"/>
          <w:shd w:val="clear" w:color="auto" w:fill="FFFFFF"/>
          <w:lang w:val="en-US"/>
        </w:rPr>
        <w:lastRenderedPageBreak/>
        <w:t xml:space="preserve">The acid and buffer concentrations used, resulted in high absorbance values at flow rates below 150 mL/hr (Re = 26.5). And according to </w:t>
      </w:r>
      <w:r w:rsidRPr="009134EF">
        <w:rPr>
          <w:rFonts w:ascii="Times New Roman" w:hAnsi="Times New Roman"/>
          <w:sz w:val="24"/>
          <w:szCs w:val="24"/>
          <w:lang w:val="en-US"/>
        </w:rPr>
        <w:t>Falk and Commenge</w:t>
      </w:r>
      <w:r w:rsidR="00FE47A8">
        <w:rPr>
          <w:rFonts w:ascii="Times New Roman" w:hAnsi="Times New Roman"/>
          <w:sz w:val="24"/>
          <w:szCs w:val="24"/>
          <w:lang w:val="en-US"/>
        </w:rPr>
        <w:t>,</w:t>
      </w:r>
      <w:r w:rsidRPr="009134EF">
        <w:rPr>
          <w:rFonts w:ascii="Times New Roman" w:hAnsi="Times New Roman"/>
          <w:sz w:val="24"/>
          <w:szCs w:val="24"/>
          <w:lang w:val="en-US"/>
        </w:rPr>
        <w:fldChar w:fldCharType="begin" w:fldLock="1"/>
      </w:r>
      <w:r w:rsidR="001312F9">
        <w:rPr>
          <w:rFonts w:ascii="Times New Roman" w:hAnsi="Times New Roman"/>
          <w:sz w:val="24"/>
          <w:szCs w:val="24"/>
          <w:lang w:val="en-US"/>
        </w:rPr>
        <w:instrText>ADDIN CSL_CITATION {"citationItems":[{"id":"ITEM-1","itemData":{"DOI":"10.1016/j.cep.2011.06.006","ISSN":"10","author":[{"dropping-particle":"","family":"Commenge","given":"Jean Marc","non-dropping-particle":"","parse-names":false,"suffix":""},{"dropping-particle":"","family":"Falk","given":"Laurent","non-dropping-particle":"","parse-names":false,"suffix":""}],"container-title":"Chemical Engineering and Processing: Process Intensification","id":"ITEM-1","issue":"10","issued":{"date-parts":[["2011"]]},"page":"979-990","title":"Villermaux–Dushman protocol for experimental characterization of micromixers","type":"article-journal","volume":"50"},"uris":["http://www.mendeley.com/documents/?uuid=e29ec2c0-86b3-4a1c-8a25-efb133b84b50"]},{"id":"ITEM-2","itemData":{"DOI":"10.1016/j.ces.2009.05.045","ISSN":"1","author":[{"dropping-particle":"","family":"Falk","given":"L","non-dropping-particle":"","parse-names":false,"suffix":""},{"dropping-particle":"","family":"Commenge","given":"J M","non-dropping-particle":"","parse-names":false,"suffix":""}],"container-title":"Chemical Engineering Science","id":"ITEM-2","issue":"1","issued":{"date-parts":[["2010"]]},"page":"405-411","title":"Performance comparison of micromixers","type":"article-journal","volume":"65"},"uris":["http://www.mendeley.com/documents/?uuid=fe043e11-1920-4b33-bbf6-b7ed148a326f"]}],"mendeley":{"formattedCitation":"&lt;sup&gt;3,6&lt;/sup&gt;","plainTextFormattedCitation":"3,6","previouslyFormattedCitation":"&lt;sup&gt;3,6&lt;/sup&gt;"},"properties":{"noteIndex":0},"schema":"https://github.com/citation-style-language/schema/raw/master/csl-citation.json"}</w:instrText>
      </w:r>
      <w:r w:rsidRPr="009134EF">
        <w:rPr>
          <w:rFonts w:ascii="Times New Roman" w:hAnsi="Times New Roman"/>
          <w:sz w:val="24"/>
          <w:szCs w:val="24"/>
          <w:lang w:val="en-US"/>
        </w:rPr>
        <w:fldChar w:fldCharType="separate"/>
      </w:r>
      <w:r w:rsidR="005B153C" w:rsidRPr="005B153C">
        <w:rPr>
          <w:rFonts w:ascii="Times New Roman" w:hAnsi="Times New Roman"/>
          <w:noProof/>
          <w:sz w:val="24"/>
          <w:szCs w:val="24"/>
          <w:vertAlign w:val="superscript"/>
          <w:lang w:val="en-US"/>
        </w:rPr>
        <w:t>3,6</w:t>
      </w:r>
      <w:r w:rsidRPr="009134EF">
        <w:rPr>
          <w:rFonts w:ascii="Times New Roman" w:hAnsi="Times New Roman"/>
          <w:sz w:val="24"/>
          <w:szCs w:val="24"/>
          <w:lang w:val="en-US"/>
        </w:rPr>
        <w:fldChar w:fldCharType="end"/>
      </w:r>
      <w:r w:rsidRPr="009134EF">
        <w:rPr>
          <w:rFonts w:ascii="Times New Roman" w:hAnsi="Times New Roman"/>
          <w:sz w:val="24"/>
          <w:szCs w:val="24"/>
          <w:lang w:val="en-US"/>
        </w:rPr>
        <w:t xml:space="preserve"> the absorbance-concentration relationship otherwise known as Beer-Lambert law is valid for the tri-iodide ion at absorbance range below 2.5.</w:t>
      </w:r>
      <w:r w:rsidRPr="009134EF">
        <w:rPr>
          <w:rFonts w:ascii="Times New Roman" w:hAnsi="Times New Roman"/>
          <w:spacing w:val="2"/>
          <w:sz w:val="24"/>
          <w:szCs w:val="24"/>
          <w:shd w:val="clear" w:color="auto" w:fill="FFFFFF"/>
          <w:lang w:val="en-US"/>
        </w:rPr>
        <w:t xml:space="preserve"> Dilution of the mixed samples of high absorbance is discouraged</w:t>
      </w:r>
      <w:r w:rsidR="00FE47A8">
        <w:rPr>
          <w:rFonts w:ascii="Times New Roman" w:hAnsi="Times New Roman"/>
          <w:spacing w:val="2"/>
          <w:sz w:val="24"/>
          <w:szCs w:val="24"/>
          <w:shd w:val="clear" w:color="auto" w:fill="FFFFFF"/>
          <w:lang w:val="en-US"/>
        </w:rPr>
        <w:t>;</w:t>
      </w:r>
      <w:r w:rsidRPr="009134EF">
        <w:rPr>
          <w:rFonts w:ascii="Times New Roman" w:hAnsi="Times New Roman"/>
          <w:spacing w:val="2"/>
          <w:sz w:val="24"/>
          <w:szCs w:val="24"/>
          <w:shd w:val="clear" w:color="auto" w:fill="FFFFFF"/>
          <w:lang w:val="en-US"/>
        </w:rPr>
        <w:fldChar w:fldCharType="begin" w:fldLock="1"/>
      </w:r>
      <w:r w:rsidR="001312F9">
        <w:rPr>
          <w:rFonts w:ascii="Times New Roman" w:hAnsi="Times New Roman"/>
          <w:spacing w:val="2"/>
          <w:sz w:val="24"/>
          <w:szCs w:val="24"/>
          <w:shd w:val="clear" w:color="auto" w:fill="FFFFFF"/>
          <w:lang w:val="en-US"/>
        </w:rPr>
        <w:instrText>ADDIN CSL_CITATION {"citationItems":[{"id":"ITEM-1","itemData":{"DOI":"10.1016/j.cep.2011.06.006","ISSN":"10","author":[{"dropping-particle":"","family":"Commenge","given":"Jean Marc","non-dropping-particle":"","parse-names":false,"suffix":""},{"dropping-particle":"","family":"Falk","given":"Laurent","non-dropping-particle":"","parse-names":false,"suffix":""}],"container-title":"Chemical Engineering and Processing: Process Intensification","id":"ITEM-1","issue":"10","issued":{"date-parts":[["2011"]]},"page":"979-990","title":"Villermaux–Dushman protocol for experimental characterization of micromixers","type":"article-journal","volume":"50"},"uris":["http://www.mendeley.com/documents/?uuid=e29ec2c0-86b3-4a1c-8a25-efb133b84b50"]}],"mendeley":{"formattedCitation":"&lt;sup&gt;3&lt;/sup&gt;","plainTextFormattedCitation":"3","previouslyFormattedCitation":"&lt;sup&gt;3&lt;/sup&gt;"},"properties":{"noteIndex":0},"schema":"https://github.com/citation-style-language/schema/raw/master/csl-citation.json"}</w:instrText>
      </w:r>
      <w:r w:rsidRPr="009134EF">
        <w:rPr>
          <w:rFonts w:ascii="Times New Roman" w:hAnsi="Times New Roman"/>
          <w:spacing w:val="2"/>
          <w:sz w:val="24"/>
          <w:szCs w:val="24"/>
          <w:shd w:val="clear" w:color="auto" w:fill="FFFFFF"/>
          <w:lang w:val="en-US"/>
        </w:rPr>
        <w:fldChar w:fldCharType="separate"/>
      </w:r>
      <w:r w:rsidR="005B153C" w:rsidRPr="005B153C">
        <w:rPr>
          <w:rFonts w:ascii="Times New Roman" w:hAnsi="Times New Roman"/>
          <w:noProof/>
          <w:spacing w:val="2"/>
          <w:sz w:val="24"/>
          <w:szCs w:val="24"/>
          <w:shd w:val="clear" w:color="auto" w:fill="FFFFFF"/>
          <w:vertAlign w:val="superscript"/>
          <w:lang w:val="en-US"/>
        </w:rPr>
        <w:t>3</w:t>
      </w:r>
      <w:r w:rsidRPr="009134EF">
        <w:rPr>
          <w:rFonts w:ascii="Times New Roman" w:hAnsi="Times New Roman"/>
          <w:spacing w:val="2"/>
          <w:sz w:val="24"/>
          <w:szCs w:val="24"/>
          <w:shd w:val="clear" w:color="auto" w:fill="FFFFFF"/>
          <w:lang w:val="en-US"/>
        </w:rPr>
        <w:fldChar w:fldCharType="end"/>
      </w:r>
      <w:r w:rsidRPr="009134EF">
        <w:rPr>
          <w:rFonts w:ascii="Times New Roman" w:hAnsi="Times New Roman"/>
          <w:spacing w:val="2"/>
          <w:sz w:val="24"/>
          <w:szCs w:val="24"/>
          <w:shd w:val="clear" w:color="auto" w:fill="FFFFFF"/>
          <w:lang w:val="en-US"/>
        </w:rPr>
        <w:t xml:space="preserve"> a failed attempt to characterize performance by dilution of mixed samples with high UV absorbance is reported somewhere</w:t>
      </w:r>
      <w:r w:rsidR="00FE47A8">
        <w:rPr>
          <w:rFonts w:ascii="Times New Roman" w:hAnsi="Times New Roman"/>
          <w:spacing w:val="2"/>
          <w:sz w:val="24"/>
          <w:szCs w:val="24"/>
          <w:shd w:val="clear" w:color="auto" w:fill="FFFFFF"/>
          <w:lang w:val="en-US"/>
        </w:rPr>
        <w:t>.</w:t>
      </w:r>
      <w:r w:rsidRPr="009134EF">
        <w:rPr>
          <w:rFonts w:ascii="Times New Roman" w:hAnsi="Times New Roman"/>
          <w:spacing w:val="2"/>
          <w:sz w:val="24"/>
          <w:szCs w:val="24"/>
          <w:shd w:val="clear" w:color="auto" w:fill="FFFFFF"/>
          <w:lang w:val="en-US"/>
        </w:rPr>
        <w:fldChar w:fldCharType="begin" w:fldLock="1"/>
      </w:r>
      <w:r w:rsidR="001312F9">
        <w:rPr>
          <w:rFonts w:ascii="Times New Roman" w:hAnsi="Times New Roman"/>
          <w:spacing w:val="2"/>
          <w:sz w:val="24"/>
          <w:szCs w:val="24"/>
          <w:shd w:val="clear" w:color="auto" w:fill="FFFFFF"/>
          <w:lang w:val="en-US"/>
        </w:rPr>
        <w:instrText>ADDIN CSL_CITATION {"citationItems":[{"id":"ITEM-1","itemData":{"DOI":"10.13140/RG.2.2.33028.83847/1","abstract":"Mixing is desired in many chemical processes. The performance of a mixing device is commonly assessed using the Villermaux-Dushman test reaction. This study was aimed at comparing the mixing performances of T, Y and arrow-shaped micromixers by employing the iodide/iodate test reaction method of Villermaux-Dushman at very low Reynolds numbers (below 22). Test solutions were fed through T, Y and arrow-shaped micromixers of 0.5 mm uniform diameter at different volume flow rates. By comparison of absorbance values of products from the three mixers, Y-shaped micromixer gave the best mixing performance at volume flow rates below 15 mL/hr. The performance was approximately the same for the three mixers at flow rate of 3 mL/hr. Absorbance values of the micromixed fluids were found to decrease with time. The discussion of results revealed a lot of anomalies with respect to usual results at higher flow rates therefore reasonable conclusion could not be made. It was recommended that the study be repeated with the inclusion of mixing time for results verification and adoption of on-line means of absorbance measurement for more accurate results.","author":[{"dropping-particle":"","family":"Okwundu","given":"Onyeka","non-dropping-particle":"","parse-names":false,"suffix":""},{"dropping-particle":"","family":"Fuseini","given":"Mohammed","non-dropping-particle":"","parse-names":false,"suffix":""}],"id":"ITEM-1","issue":"May","issued":{"date-parts":[["2018"]]},"number-of-pages":"1-23","title":"Mixing performance of micromixers by Villermaux-Dushman reaction protocol at low Reynolds Number","type":"report"},"uris":["http://www.mendeley.com/documents/?uuid=b6a53bc4-ac5a-4bcc-a8f5-00abe2ebae48"]}],"mendeley":{"formattedCitation":"&lt;sup&gt;12&lt;/sup&gt;","plainTextFormattedCitation":"12","previouslyFormattedCitation":"&lt;sup&gt;12&lt;/sup&gt;"},"properties":{"noteIndex":0},"schema":"https://github.com/citation-style-language/schema/raw/master/csl-citation.json"}</w:instrText>
      </w:r>
      <w:r w:rsidRPr="009134EF">
        <w:rPr>
          <w:rFonts w:ascii="Times New Roman" w:hAnsi="Times New Roman"/>
          <w:spacing w:val="2"/>
          <w:sz w:val="24"/>
          <w:szCs w:val="24"/>
          <w:shd w:val="clear" w:color="auto" w:fill="FFFFFF"/>
          <w:lang w:val="en-US"/>
        </w:rPr>
        <w:fldChar w:fldCharType="separate"/>
      </w:r>
      <w:r w:rsidR="005B153C" w:rsidRPr="005B153C">
        <w:rPr>
          <w:rFonts w:ascii="Times New Roman" w:hAnsi="Times New Roman"/>
          <w:noProof/>
          <w:spacing w:val="2"/>
          <w:sz w:val="24"/>
          <w:szCs w:val="24"/>
          <w:shd w:val="clear" w:color="auto" w:fill="FFFFFF"/>
          <w:vertAlign w:val="superscript"/>
          <w:lang w:val="en-US"/>
        </w:rPr>
        <w:t>12</w:t>
      </w:r>
      <w:r w:rsidRPr="009134EF">
        <w:rPr>
          <w:rFonts w:ascii="Times New Roman" w:hAnsi="Times New Roman"/>
          <w:spacing w:val="2"/>
          <w:sz w:val="24"/>
          <w:szCs w:val="24"/>
          <w:shd w:val="clear" w:color="auto" w:fill="FFFFFF"/>
          <w:lang w:val="en-US"/>
        </w:rPr>
        <w:fldChar w:fldCharType="end"/>
      </w:r>
      <w:r w:rsidRPr="009134EF">
        <w:rPr>
          <w:rFonts w:ascii="Times New Roman" w:hAnsi="Times New Roman"/>
          <w:spacing w:val="2"/>
          <w:sz w:val="24"/>
          <w:szCs w:val="24"/>
          <w:shd w:val="clear" w:color="auto" w:fill="FFFFFF"/>
          <w:lang w:val="en-US"/>
        </w:rPr>
        <w:t xml:space="preserve"> Consequently, the concentrations of solutions 1 and 2 were each halved by doubling their volumes with distilled water before proceeding with experimental runs for flow rates below 150 mL/hr. As a result of this modification, the result (Fig. 2) is presented in two parts.</w:t>
      </w:r>
    </w:p>
    <w:p w:rsidR="009134EF" w:rsidRDefault="009134EF" w:rsidP="009134EF">
      <w:pPr>
        <w:spacing w:line="360" w:lineRule="auto"/>
        <w:rPr>
          <w:rFonts w:ascii="Times New Roman" w:hAnsi="Times New Roman"/>
          <w:spacing w:val="2"/>
          <w:sz w:val="24"/>
          <w:szCs w:val="24"/>
          <w:shd w:val="clear" w:color="auto" w:fill="FFFFFF"/>
          <w:lang w:val="en-US"/>
        </w:rPr>
      </w:pPr>
      <w:r w:rsidRPr="009134EF">
        <w:rPr>
          <w:rFonts w:ascii="Times New Roman" w:hAnsi="Times New Roman"/>
          <w:spacing w:val="2"/>
          <w:sz w:val="24"/>
          <w:szCs w:val="24"/>
          <w:shd w:val="clear" w:color="auto" w:fill="FFFFFF"/>
          <w:lang w:val="en-US"/>
        </w:rPr>
        <w:t>Fig. 2a and 2b show the effect of Re on absorbance at the stated reagent concentration for higher flows and halved concentration for lower flows respectively. Fig. 2a clearly shows that UV absorbance increased progressively for all the micromixers with decreasing Re. By comparison, arrow-mixer gave the least absorbance (best mixing performance), while Y-mixer gave the highest absorbance (least mixing performance) for flows above Re value of 26.5. At Re equals 26.5, the three mixers measured up in absorbance. While it is clear from Fig. 2b that there is no consistent comparative trend in absorbance for the micromixers at Re &lt; 26.5.</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4"/>
        <w:gridCol w:w="4497"/>
      </w:tblGrid>
      <w:tr w:rsidR="004109D1" w:rsidTr="00951C1B">
        <w:trPr>
          <w:trHeight w:val="3225"/>
        </w:trPr>
        <w:tc>
          <w:tcPr>
            <w:tcW w:w="4656" w:type="dxa"/>
          </w:tcPr>
          <w:p w:rsidR="009134EF" w:rsidRDefault="009134EF" w:rsidP="004109D1">
            <w:pPr>
              <w:spacing w:after="0" w:line="360" w:lineRule="auto"/>
              <w:rPr>
                <w:rFonts w:ascii="Times New Roman" w:hAnsi="Times New Roman"/>
                <w:spacing w:val="2"/>
                <w:sz w:val="24"/>
                <w:szCs w:val="24"/>
                <w:shd w:val="clear" w:color="auto" w:fill="FFFFFF"/>
                <w:lang w:val="en-US"/>
              </w:rPr>
            </w:pPr>
            <w:r w:rsidRPr="009134EF">
              <w:rPr>
                <w:rFonts w:ascii="Times New Roman" w:hAnsi="Times New Roman"/>
                <w:noProof/>
                <w:spacing w:val="2"/>
                <w:sz w:val="24"/>
                <w:szCs w:val="24"/>
                <w:shd w:val="clear" w:color="auto" w:fill="FFFFFF"/>
                <w:lang w:val="en-US"/>
              </w:rPr>
              <w:drawing>
                <wp:inline distT="0" distB="0" distL="0" distR="0" wp14:anchorId="1D492795" wp14:editId="1A803514">
                  <wp:extent cx="2781300" cy="2009775"/>
                  <wp:effectExtent l="0" t="0" r="0" b="0"/>
                  <wp:docPr id="1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tc>
        <w:tc>
          <w:tcPr>
            <w:tcW w:w="4405" w:type="dxa"/>
          </w:tcPr>
          <w:p w:rsidR="009134EF" w:rsidRDefault="009134EF" w:rsidP="004109D1">
            <w:pPr>
              <w:spacing w:after="0" w:line="360" w:lineRule="auto"/>
              <w:rPr>
                <w:rFonts w:ascii="Times New Roman" w:hAnsi="Times New Roman"/>
                <w:spacing w:val="2"/>
                <w:sz w:val="24"/>
                <w:szCs w:val="24"/>
                <w:shd w:val="clear" w:color="auto" w:fill="FFFFFF"/>
                <w:lang w:val="en-US"/>
              </w:rPr>
            </w:pPr>
            <w:r w:rsidRPr="009134EF">
              <w:rPr>
                <w:rFonts w:ascii="Times New Roman" w:hAnsi="Times New Roman"/>
                <w:noProof/>
                <w:sz w:val="24"/>
                <w:szCs w:val="24"/>
                <w:lang w:val="en-US"/>
              </w:rPr>
              <w:drawing>
                <wp:inline distT="0" distB="0" distL="0" distR="0" wp14:anchorId="3EEFB03A" wp14:editId="0C486496">
                  <wp:extent cx="2732405" cy="2009775"/>
                  <wp:effectExtent l="0" t="0" r="0" b="0"/>
                  <wp:docPr id="10"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c>
      </w:tr>
      <w:tr w:rsidR="004109D1" w:rsidTr="00951C1B">
        <w:tc>
          <w:tcPr>
            <w:tcW w:w="4656" w:type="dxa"/>
          </w:tcPr>
          <w:p w:rsidR="009134EF" w:rsidRDefault="009134EF" w:rsidP="004109D1">
            <w:pPr>
              <w:spacing w:after="0" w:line="360" w:lineRule="auto"/>
              <w:jc w:val="center"/>
              <w:rPr>
                <w:rFonts w:ascii="Times New Roman" w:hAnsi="Times New Roman"/>
                <w:spacing w:val="2"/>
                <w:sz w:val="24"/>
                <w:szCs w:val="24"/>
                <w:shd w:val="clear" w:color="auto" w:fill="FFFFFF"/>
                <w:lang w:val="en-US"/>
              </w:rPr>
            </w:pPr>
            <w:r>
              <w:rPr>
                <w:rFonts w:ascii="Times New Roman" w:hAnsi="Times New Roman"/>
                <w:spacing w:val="2"/>
                <w:sz w:val="24"/>
                <w:szCs w:val="24"/>
                <w:shd w:val="clear" w:color="auto" w:fill="FFFFFF"/>
                <w:lang w:val="en-US"/>
              </w:rPr>
              <w:t>(a)</w:t>
            </w:r>
          </w:p>
        </w:tc>
        <w:tc>
          <w:tcPr>
            <w:tcW w:w="4405" w:type="dxa"/>
          </w:tcPr>
          <w:p w:rsidR="009134EF" w:rsidRDefault="009134EF" w:rsidP="004109D1">
            <w:pPr>
              <w:spacing w:after="0" w:line="360" w:lineRule="auto"/>
              <w:jc w:val="center"/>
              <w:rPr>
                <w:rFonts w:ascii="Times New Roman" w:hAnsi="Times New Roman"/>
                <w:spacing w:val="2"/>
                <w:sz w:val="24"/>
                <w:szCs w:val="24"/>
                <w:shd w:val="clear" w:color="auto" w:fill="FFFFFF"/>
                <w:lang w:val="en-US"/>
              </w:rPr>
            </w:pPr>
            <w:r>
              <w:rPr>
                <w:rFonts w:ascii="Times New Roman" w:hAnsi="Times New Roman"/>
                <w:spacing w:val="2"/>
                <w:sz w:val="24"/>
                <w:szCs w:val="24"/>
                <w:shd w:val="clear" w:color="auto" w:fill="FFFFFF"/>
                <w:lang w:val="en-US"/>
              </w:rPr>
              <w:t>(b)</w:t>
            </w:r>
          </w:p>
        </w:tc>
      </w:tr>
      <w:tr w:rsidR="009134EF" w:rsidRPr="004109D1" w:rsidTr="00951C1B">
        <w:tc>
          <w:tcPr>
            <w:tcW w:w="9061" w:type="dxa"/>
            <w:gridSpan w:val="2"/>
          </w:tcPr>
          <w:p w:rsidR="009134EF" w:rsidRPr="004109D1" w:rsidRDefault="009134EF" w:rsidP="00AC6F1A">
            <w:pPr>
              <w:spacing w:line="360" w:lineRule="auto"/>
              <w:rPr>
                <w:rFonts w:ascii="Times New Roman" w:hAnsi="Times New Roman"/>
                <w:spacing w:val="2"/>
                <w:sz w:val="24"/>
                <w:szCs w:val="24"/>
                <w:shd w:val="clear" w:color="auto" w:fill="FFFFFF"/>
                <w:lang w:val="en-US"/>
              </w:rPr>
            </w:pPr>
            <w:r w:rsidRPr="004109D1">
              <w:rPr>
                <w:rFonts w:ascii="Times New Roman" w:hAnsi="Times New Roman"/>
                <w:bCs/>
                <w:spacing w:val="2"/>
                <w:sz w:val="24"/>
                <w:szCs w:val="24"/>
                <w:shd w:val="clear" w:color="auto" w:fill="FFFFFF"/>
                <w:lang w:val="en-US"/>
              </w:rPr>
              <w:t>Fig. 2</w:t>
            </w:r>
            <w:r w:rsidR="004109D1">
              <w:rPr>
                <w:rFonts w:ascii="Times New Roman" w:hAnsi="Times New Roman"/>
                <w:bCs/>
                <w:spacing w:val="2"/>
                <w:sz w:val="24"/>
                <w:szCs w:val="24"/>
                <w:shd w:val="clear" w:color="auto" w:fill="FFFFFF"/>
                <w:lang w:val="en-US"/>
              </w:rPr>
              <w:t>.</w:t>
            </w:r>
            <w:r w:rsidRPr="004109D1">
              <w:rPr>
                <w:rFonts w:ascii="Times New Roman" w:hAnsi="Times New Roman"/>
                <w:bCs/>
                <w:spacing w:val="2"/>
                <w:sz w:val="24"/>
                <w:szCs w:val="24"/>
                <w:shd w:val="clear" w:color="auto" w:fill="FFFFFF"/>
                <w:lang w:val="en-US"/>
              </w:rPr>
              <w:t xml:space="preserve"> Effect of Re values on absorbance: at stated reagent concentration for higher flows (a), and </w:t>
            </w:r>
            <w:r w:rsidR="004109D1" w:rsidRPr="004109D1">
              <w:rPr>
                <w:rFonts w:ascii="Times New Roman" w:hAnsi="Times New Roman"/>
                <w:bCs/>
                <w:spacing w:val="2"/>
                <w:sz w:val="24"/>
                <w:szCs w:val="24"/>
                <w:shd w:val="clear" w:color="auto" w:fill="FFFFFF"/>
                <w:lang w:val="en-US"/>
              </w:rPr>
              <w:t>with halved reagent concentration for lower flow rates (b).</w:t>
            </w:r>
          </w:p>
        </w:tc>
      </w:tr>
    </w:tbl>
    <w:p w:rsidR="009134EF" w:rsidRPr="009134EF" w:rsidRDefault="009134EF" w:rsidP="003C31C2">
      <w:pPr>
        <w:spacing w:after="0" w:line="360" w:lineRule="auto"/>
        <w:rPr>
          <w:rFonts w:ascii="Times New Roman" w:hAnsi="Times New Roman"/>
          <w:spacing w:val="2"/>
          <w:sz w:val="24"/>
          <w:szCs w:val="24"/>
          <w:shd w:val="clear" w:color="auto" w:fill="FFFFFF"/>
          <w:lang w:val="en-US"/>
        </w:rPr>
      </w:pPr>
      <w:r w:rsidRPr="009134EF">
        <w:rPr>
          <w:rFonts w:ascii="Times New Roman" w:hAnsi="Times New Roman"/>
          <w:spacing w:val="2"/>
          <w:sz w:val="24"/>
          <w:szCs w:val="24"/>
          <w:shd w:val="clear" w:color="auto" w:fill="FFFFFF"/>
          <w:lang w:val="en-US"/>
        </w:rPr>
        <w:t xml:space="preserve">In quest for possible reasons for the inconsistency in absorbance trend at Re &lt; 26.5, the UV absorbance of mixed samples were measured with respect to time (age after sampling). It was found that the absorbance of mixed samples for all Re values, were not stable; the values reduced with samples’ age. Ehrfeld et al </w:t>
      </w:r>
      <w:r w:rsidRPr="009134EF">
        <w:rPr>
          <w:rFonts w:ascii="Times New Roman" w:hAnsi="Times New Roman"/>
          <w:spacing w:val="2"/>
          <w:sz w:val="24"/>
          <w:szCs w:val="24"/>
          <w:shd w:val="clear" w:color="auto" w:fill="FFFFFF"/>
          <w:lang w:val="en-US"/>
        </w:rPr>
        <w:fldChar w:fldCharType="begin" w:fldLock="1"/>
      </w:r>
      <w:r w:rsidR="001312F9">
        <w:rPr>
          <w:rFonts w:ascii="Times New Roman" w:hAnsi="Times New Roman"/>
          <w:spacing w:val="2"/>
          <w:sz w:val="24"/>
          <w:szCs w:val="24"/>
          <w:shd w:val="clear" w:color="auto" w:fill="FFFFFF"/>
          <w:lang w:val="en-US"/>
        </w:rPr>
        <w:instrText>ADDIN CSL_CITATION {"citationItems":[{"id":"ITEM-1","itemData":{"DOI":"10.1021/ie980128d","ISSN":"3","author":[{"dropping-particle":"","family":"Ehrfeld","given":"Wolfgang","non-dropping-particle":"","parse-names":false,"suffix":""},{"dropping-particle":"","family":"Golbig","given":"Klaus","non-dropping-particle":"","parse-names":false,"suffix":""},{"dropping-particle":"","family":"Hessel","given":"Volker","non-dropping-particle":"","parse-names":false,"suffix":""},{"dropping-particle":"","family":"Löwe","given":"Holger","non-dropping-particle":"","parse-names":false,"suffix":""},{"dropping-particle":"","family":"Richter","given":"Thomas","non-dropping-particle":"","parse-names":false,"suffix":""}],"container-title":"Industrial &amp; Engineering Chemistry Research","id":"ITEM-1","issue":"3","issued":{"date-parts":[["1999"]]},"page":"1075-1082","title":"Characterization of Mixing in Micromixers by a Test Reaction: Single Mixing Units and Mixer Arrays","type":"article-journal","volume":"38"},"uris":["http://www.mendeley.com/documents/?uuid=15ab2cbc-0d7c-4223-8d63-76110530bfc3"]}],"mendeley":{"formattedCitation":"&lt;sup&gt;2&lt;/sup&gt;","plainTextFormattedCitation":"2","previouslyFormattedCitation":"&lt;sup&gt;2&lt;/sup&gt;"},"properties":{"noteIndex":0},"schema":"https://github.com/citation-style-language/schema/raw/master/csl-citation.json"}</w:instrText>
      </w:r>
      <w:r w:rsidRPr="009134EF">
        <w:rPr>
          <w:rFonts w:ascii="Times New Roman" w:hAnsi="Times New Roman"/>
          <w:spacing w:val="2"/>
          <w:sz w:val="24"/>
          <w:szCs w:val="24"/>
          <w:shd w:val="clear" w:color="auto" w:fill="FFFFFF"/>
          <w:lang w:val="en-US"/>
        </w:rPr>
        <w:fldChar w:fldCharType="separate"/>
      </w:r>
      <w:r w:rsidR="005B153C" w:rsidRPr="005B153C">
        <w:rPr>
          <w:rFonts w:ascii="Times New Roman" w:hAnsi="Times New Roman"/>
          <w:noProof/>
          <w:spacing w:val="2"/>
          <w:sz w:val="24"/>
          <w:szCs w:val="24"/>
          <w:shd w:val="clear" w:color="auto" w:fill="FFFFFF"/>
          <w:vertAlign w:val="superscript"/>
          <w:lang w:val="en-US"/>
        </w:rPr>
        <w:t>2</w:t>
      </w:r>
      <w:r w:rsidRPr="009134EF">
        <w:rPr>
          <w:rFonts w:ascii="Times New Roman" w:hAnsi="Times New Roman"/>
          <w:spacing w:val="2"/>
          <w:sz w:val="24"/>
          <w:szCs w:val="24"/>
          <w:shd w:val="clear" w:color="auto" w:fill="FFFFFF"/>
          <w:lang w:val="en-US"/>
        </w:rPr>
        <w:fldChar w:fldCharType="end"/>
      </w:r>
      <w:r w:rsidRPr="009134EF">
        <w:rPr>
          <w:rFonts w:ascii="Times New Roman" w:hAnsi="Times New Roman"/>
          <w:spacing w:val="2"/>
          <w:sz w:val="24"/>
          <w:szCs w:val="24"/>
          <w:shd w:val="clear" w:color="auto" w:fill="FFFFFF"/>
          <w:lang w:val="en-US"/>
        </w:rPr>
        <w:t xml:space="preserve"> noted this instability in absorbance although they report increase in absorbance using sodium acetate in place of NaOH and </w:t>
      </w:r>
      <w:r w:rsidRPr="009134EF">
        <w:rPr>
          <w:rFonts w:ascii="Times New Roman" w:hAnsi="Times New Roman"/>
          <w:spacing w:val="2"/>
          <w:sz w:val="24"/>
          <w:szCs w:val="24"/>
          <w:shd w:val="clear" w:color="auto" w:fill="FFFFFF"/>
          <w:lang w:val="en-US"/>
        </w:rPr>
        <w:lastRenderedPageBreak/>
        <w:t>boric acid. The observed instability could be due to the reversible nature of most of the reactions in the Villermaux-Dushman reaction scheme. As a result of this, time lag between samples collection and measurement was kept to the minimum for greater accuracy. Also, the spectrophotometer was set to cover short range of wavelength (320 to 370 nm) to reduce response time in measurement. The observed sharp drop in absorbance at Re = 0.2 for all mixers as shown in Fig. 2b, could be due to the long time spent in collecting samples at such low flow rate – allowing such a long time lag for mixed samples absorbance to depreciate. Substantial reasons for the absorbance instability with samples’ age cannot be proffered because the kinetics of Villermaux-Dushman reaction is not well understood</w:t>
      </w:r>
      <w:r w:rsidR="00CB1668">
        <w:rPr>
          <w:rFonts w:ascii="Times New Roman" w:hAnsi="Times New Roman"/>
          <w:spacing w:val="2"/>
          <w:sz w:val="24"/>
          <w:szCs w:val="24"/>
          <w:shd w:val="clear" w:color="auto" w:fill="FFFFFF"/>
          <w:lang w:val="en-US"/>
        </w:rPr>
        <w:t>.</w:t>
      </w:r>
      <w:r w:rsidRPr="009134EF">
        <w:rPr>
          <w:rFonts w:ascii="Times New Roman" w:hAnsi="Times New Roman"/>
          <w:spacing w:val="2"/>
          <w:sz w:val="24"/>
          <w:szCs w:val="24"/>
          <w:shd w:val="clear" w:color="auto" w:fill="FFFFFF"/>
          <w:lang w:val="en-US"/>
        </w:rPr>
        <w:fldChar w:fldCharType="begin" w:fldLock="1"/>
      </w:r>
      <w:r w:rsidR="001312F9">
        <w:rPr>
          <w:rFonts w:ascii="Times New Roman" w:hAnsi="Times New Roman"/>
          <w:spacing w:val="2"/>
          <w:sz w:val="24"/>
          <w:szCs w:val="24"/>
          <w:shd w:val="clear" w:color="auto" w:fill="FFFFFF"/>
          <w:lang w:val="en-US"/>
        </w:rPr>
        <w:instrText>ADDIN CSL_CITATION {"citationItems":[{"id":"ITEM-1","itemData":{"DOI":"10.1016/j.cej.2008.01.031","ISSN":"13858947","abstract":"Qualitatively the iodide/iodate method, in which the iodine yield is measured, has provided reliable results for assessing the extent of micromixing of miscible reagents. Quantitative treatment requires however a robust kinetic model. Comparison of published models shows large differences due to the complexity of the iodine-forming reaction. The kinetics needs to be re-determined employing modern techniques for fast reactions and under the conditions (concentrations, ionic strength, etc.) used in mixing studies. © 2008 Elsevier B.V. All rights reserved.","author":[{"dropping-particle":"","family":"Bourne","given":"John R.","non-dropping-particle":"","parse-names":false,"suffix":""}],"container-title":"Chemical Engineering Journal","id":"ITEM-1","issue":"1-3","issued":{"date-parts":[["2008"]]},"page":"638-641","title":"Comments on the iodide/iodate method for characterising micromixing","type":"article-journal","volume":"140"},"uris":["http://www.mendeley.com/documents/?uuid=1254a94a-9646-4184-afb9-81fd43387703"]}],"mendeley":{"formattedCitation":"&lt;sup&gt;13&lt;/sup&gt;","plainTextFormattedCitation":"13","previouslyFormattedCitation":"&lt;sup&gt;13&lt;/sup&gt;"},"properties":{"noteIndex":0},"schema":"https://github.com/citation-style-language/schema/raw/master/csl-citation.json"}</w:instrText>
      </w:r>
      <w:r w:rsidRPr="009134EF">
        <w:rPr>
          <w:rFonts w:ascii="Times New Roman" w:hAnsi="Times New Roman"/>
          <w:spacing w:val="2"/>
          <w:sz w:val="24"/>
          <w:szCs w:val="24"/>
          <w:shd w:val="clear" w:color="auto" w:fill="FFFFFF"/>
          <w:lang w:val="en-US"/>
        </w:rPr>
        <w:fldChar w:fldCharType="separate"/>
      </w:r>
      <w:r w:rsidR="005B153C" w:rsidRPr="005B153C">
        <w:rPr>
          <w:rFonts w:ascii="Times New Roman" w:hAnsi="Times New Roman"/>
          <w:noProof/>
          <w:spacing w:val="2"/>
          <w:sz w:val="24"/>
          <w:szCs w:val="24"/>
          <w:shd w:val="clear" w:color="auto" w:fill="FFFFFF"/>
          <w:vertAlign w:val="superscript"/>
          <w:lang w:val="en-US"/>
        </w:rPr>
        <w:t>13</w:t>
      </w:r>
      <w:r w:rsidRPr="009134EF">
        <w:rPr>
          <w:rFonts w:ascii="Times New Roman" w:hAnsi="Times New Roman"/>
          <w:spacing w:val="2"/>
          <w:sz w:val="24"/>
          <w:szCs w:val="24"/>
          <w:shd w:val="clear" w:color="auto" w:fill="FFFFFF"/>
          <w:lang w:val="en-US"/>
        </w:rPr>
        <w:fldChar w:fldCharType="end"/>
      </w:r>
    </w:p>
    <w:p w:rsidR="006708F8" w:rsidRDefault="009134EF" w:rsidP="009134EF">
      <w:pPr>
        <w:spacing w:line="360" w:lineRule="auto"/>
        <w:rPr>
          <w:rFonts w:ascii="Times New Roman" w:hAnsi="Times New Roman"/>
          <w:spacing w:val="2"/>
          <w:sz w:val="24"/>
          <w:szCs w:val="24"/>
          <w:shd w:val="clear" w:color="auto" w:fill="FFFFFF"/>
          <w:lang w:val="en-US"/>
        </w:rPr>
      </w:pPr>
      <w:r w:rsidRPr="009134EF">
        <w:rPr>
          <w:rFonts w:ascii="Times New Roman" w:hAnsi="Times New Roman"/>
          <w:spacing w:val="2"/>
          <w:sz w:val="24"/>
          <w:szCs w:val="24"/>
          <w:shd w:val="clear" w:color="auto" w:fill="FFFFFF"/>
          <w:lang w:val="en-US"/>
        </w:rPr>
        <w:t>Again, mixed samples were quickly collected and analyzed for UV absorbance at very close time intervals from the on-set of mixing till exhaustion of syringe contents, at different Re values. The result showed that steady absorbance value (</w:t>
      </w:r>
      <w:r w:rsidRPr="009134EF">
        <w:rPr>
          <w:rFonts w:ascii="Times New Roman" w:eastAsia="Times New Roman" w:hAnsi="Times New Roman"/>
          <w:spacing w:val="2"/>
          <w:sz w:val="24"/>
          <w:szCs w:val="24"/>
          <w:shd w:val="clear" w:color="auto" w:fill="FFFFFF"/>
          <w:lang w:val="en-US"/>
        </w:rPr>
        <w:t xml:space="preserve">with noise of </w:t>
      </w:r>
      <m:oMath>
        <m:r>
          <m:rPr>
            <m:sty m:val="p"/>
          </m:rPr>
          <w:rPr>
            <w:rFonts w:ascii="Cambria Math" w:hAnsi="Cambria Math"/>
            <w:spacing w:val="2"/>
            <w:sz w:val="24"/>
            <w:szCs w:val="24"/>
            <w:shd w:val="clear" w:color="auto" w:fill="FFFFFF"/>
            <w:lang w:val="en-US"/>
          </w:rPr>
          <m:t>± 0.01</m:t>
        </m:r>
      </m:oMath>
      <w:r w:rsidRPr="009134EF">
        <w:rPr>
          <w:rFonts w:ascii="Times New Roman" w:eastAsia="Times New Roman" w:hAnsi="Times New Roman"/>
          <w:spacing w:val="2"/>
          <w:sz w:val="24"/>
          <w:szCs w:val="24"/>
          <w:shd w:val="clear" w:color="auto" w:fill="FFFFFF"/>
          <w:lang w:val="en-US"/>
        </w:rPr>
        <w:t xml:space="preserve"> at Re &lt; 17.7 and </w:t>
      </w:r>
      <m:oMath>
        <m:r>
          <m:rPr>
            <m:sty m:val="p"/>
          </m:rPr>
          <w:rPr>
            <w:rFonts w:ascii="Cambria Math" w:hAnsi="Cambria Math"/>
            <w:spacing w:val="2"/>
            <w:sz w:val="24"/>
            <w:szCs w:val="24"/>
            <w:shd w:val="clear" w:color="auto" w:fill="FFFFFF"/>
            <w:lang w:val="en-US"/>
          </w:rPr>
          <m:t>±</m:t>
        </m:r>
      </m:oMath>
      <w:r w:rsidRPr="009134EF">
        <w:rPr>
          <w:rFonts w:ascii="Times New Roman" w:eastAsia="Times New Roman" w:hAnsi="Times New Roman"/>
          <w:spacing w:val="2"/>
          <w:sz w:val="24"/>
          <w:szCs w:val="24"/>
          <w:shd w:val="clear" w:color="auto" w:fill="FFFFFF"/>
          <w:lang w:val="en-US"/>
        </w:rPr>
        <w:t xml:space="preserve"> 0.003 at Re ≥ 17.7</w:t>
      </w:r>
      <w:r w:rsidRPr="009134EF">
        <w:rPr>
          <w:rFonts w:ascii="Times New Roman" w:hAnsi="Times New Roman"/>
          <w:spacing w:val="2"/>
          <w:sz w:val="24"/>
          <w:szCs w:val="24"/>
          <w:shd w:val="clear" w:color="auto" w:fill="FFFFFF"/>
          <w:lang w:val="en-US"/>
        </w:rPr>
        <w:t xml:space="preserve"> was attained after collecting at most 5 ml of mixed solution. The observed noise at steady state (</w:t>
      </w:r>
      <w:r w:rsidRPr="009134EF">
        <w:rPr>
          <w:rFonts w:ascii="Times New Roman" w:eastAsia="Times New Roman" w:hAnsi="Times New Roman"/>
          <w:spacing w:val="2"/>
          <w:sz w:val="24"/>
          <w:szCs w:val="24"/>
          <w:shd w:val="clear" w:color="auto" w:fill="FFFFFF"/>
          <w:lang w:val="en-US"/>
        </w:rPr>
        <w:t xml:space="preserve">at Re &lt; 17.7) </w:t>
      </w:r>
      <w:r w:rsidRPr="009134EF">
        <w:rPr>
          <w:rFonts w:ascii="Times New Roman" w:hAnsi="Times New Roman"/>
          <w:spacing w:val="2"/>
          <w:sz w:val="24"/>
          <w:szCs w:val="24"/>
          <w:shd w:val="clear" w:color="auto" w:fill="FFFFFF"/>
          <w:lang w:val="en-US"/>
        </w:rPr>
        <w:t>is quite high but too small to account for the observed inconsistency</w:t>
      </w:r>
      <w:r w:rsidR="007F6FEE">
        <w:rPr>
          <w:rFonts w:ascii="Times New Roman" w:hAnsi="Times New Roman"/>
          <w:spacing w:val="2"/>
          <w:sz w:val="24"/>
          <w:szCs w:val="24"/>
          <w:shd w:val="clear" w:color="auto" w:fill="FFFFFF"/>
          <w:lang w:val="en-US"/>
        </w:rPr>
        <w:t>; because</w:t>
      </w:r>
      <w:r w:rsidR="001D6645">
        <w:rPr>
          <w:rFonts w:ascii="Times New Roman" w:hAnsi="Times New Roman"/>
          <w:spacing w:val="2"/>
          <w:sz w:val="24"/>
          <w:szCs w:val="24"/>
          <w:shd w:val="clear" w:color="auto" w:fill="FFFFFF"/>
          <w:lang w:val="en-US"/>
        </w:rPr>
        <w:t>, the observed disorderliness in absorbance (for Fig. 2b) is greater than 0.01. Therefore, noise could have contributed only slightly to the inconsistency</w:t>
      </w:r>
      <w:r w:rsidRPr="009134EF">
        <w:rPr>
          <w:rFonts w:ascii="Times New Roman" w:hAnsi="Times New Roman"/>
          <w:spacing w:val="2"/>
          <w:sz w:val="24"/>
          <w:szCs w:val="24"/>
          <w:shd w:val="clear" w:color="auto" w:fill="FFFFFF"/>
          <w:lang w:val="en-US"/>
        </w:rPr>
        <w:t>. This test justified the assumption of steady state concentration during sampling (discarding the first 20 mL of mixed sample).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30"/>
        <w:gridCol w:w="2375"/>
        <w:gridCol w:w="2405"/>
        <w:gridCol w:w="2161"/>
      </w:tblGrid>
      <w:tr w:rsidR="006708F8" w:rsidTr="006708F8">
        <w:tc>
          <w:tcPr>
            <w:tcW w:w="4496" w:type="dxa"/>
            <w:gridSpan w:val="2"/>
          </w:tcPr>
          <w:p w:rsidR="00951C1B" w:rsidRDefault="00951C1B" w:rsidP="00951C1B">
            <w:pPr>
              <w:spacing w:after="0" w:line="360" w:lineRule="auto"/>
              <w:rPr>
                <w:rFonts w:ascii="Times New Roman" w:hAnsi="Times New Roman"/>
                <w:spacing w:val="2"/>
                <w:sz w:val="24"/>
                <w:szCs w:val="24"/>
                <w:shd w:val="clear" w:color="auto" w:fill="FFFFFF"/>
                <w:lang w:val="en-US"/>
              </w:rPr>
            </w:pPr>
            <w:r w:rsidRPr="009134EF">
              <w:rPr>
                <w:rFonts w:ascii="Times New Roman" w:hAnsi="Times New Roman"/>
                <w:noProof/>
                <w:spacing w:val="2"/>
                <w:sz w:val="24"/>
                <w:szCs w:val="24"/>
                <w:shd w:val="clear" w:color="auto" w:fill="FFFFFF"/>
                <w:lang w:val="en-US"/>
              </w:rPr>
              <w:drawing>
                <wp:inline distT="0" distB="0" distL="0" distR="0" wp14:anchorId="49762F76" wp14:editId="5607A60C">
                  <wp:extent cx="2743200" cy="1895475"/>
                  <wp:effectExtent l="0" t="0" r="0" b="0"/>
                  <wp:docPr id="5"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c>
        <w:tc>
          <w:tcPr>
            <w:tcW w:w="4565" w:type="dxa"/>
            <w:gridSpan w:val="2"/>
          </w:tcPr>
          <w:p w:rsidR="00951C1B" w:rsidRDefault="00951C1B" w:rsidP="00951C1B">
            <w:pPr>
              <w:spacing w:after="0" w:line="360" w:lineRule="auto"/>
              <w:rPr>
                <w:rFonts w:ascii="Times New Roman" w:hAnsi="Times New Roman"/>
                <w:spacing w:val="2"/>
                <w:sz w:val="24"/>
                <w:szCs w:val="24"/>
                <w:shd w:val="clear" w:color="auto" w:fill="FFFFFF"/>
                <w:lang w:val="en-US"/>
              </w:rPr>
            </w:pPr>
            <w:r w:rsidRPr="009134EF">
              <w:rPr>
                <w:rFonts w:ascii="Times New Roman" w:hAnsi="Times New Roman"/>
                <w:noProof/>
                <w:spacing w:val="2"/>
                <w:sz w:val="24"/>
                <w:szCs w:val="24"/>
                <w:shd w:val="clear" w:color="auto" w:fill="FFFFFF"/>
                <w:lang w:val="en-US"/>
              </w:rPr>
              <w:drawing>
                <wp:inline distT="0" distB="0" distL="0" distR="0" wp14:anchorId="3B780BC2" wp14:editId="0767D358">
                  <wp:extent cx="2773045" cy="1895475"/>
                  <wp:effectExtent l="0" t="0" r="8255"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c>
      </w:tr>
      <w:tr w:rsidR="006708F8" w:rsidTr="006708F8">
        <w:tc>
          <w:tcPr>
            <w:tcW w:w="4496" w:type="dxa"/>
            <w:gridSpan w:val="2"/>
          </w:tcPr>
          <w:p w:rsidR="00951C1B" w:rsidRDefault="00951C1B" w:rsidP="00951C1B">
            <w:pPr>
              <w:spacing w:after="0" w:line="360" w:lineRule="auto"/>
              <w:jc w:val="center"/>
              <w:rPr>
                <w:rFonts w:ascii="Times New Roman" w:hAnsi="Times New Roman"/>
                <w:spacing w:val="2"/>
                <w:sz w:val="24"/>
                <w:szCs w:val="24"/>
                <w:shd w:val="clear" w:color="auto" w:fill="FFFFFF"/>
                <w:lang w:val="en-US"/>
              </w:rPr>
            </w:pPr>
            <w:r>
              <w:rPr>
                <w:rFonts w:ascii="Times New Roman" w:hAnsi="Times New Roman"/>
                <w:spacing w:val="2"/>
                <w:sz w:val="24"/>
                <w:szCs w:val="24"/>
                <w:shd w:val="clear" w:color="auto" w:fill="FFFFFF"/>
                <w:lang w:val="en-US"/>
              </w:rPr>
              <w:t>(a)</w:t>
            </w:r>
          </w:p>
        </w:tc>
        <w:tc>
          <w:tcPr>
            <w:tcW w:w="4565" w:type="dxa"/>
            <w:gridSpan w:val="2"/>
          </w:tcPr>
          <w:p w:rsidR="00951C1B" w:rsidRDefault="00951C1B" w:rsidP="00951C1B">
            <w:pPr>
              <w:spacing w:after="0" w:line="360" w:lineRule="auto"/>
              <w:jc w:val="center"/>
              <w:rPr>
                <w:rFonts w:ascii="Times New Roman" w:hAnsi="Times New Roman"/>
                <w:spacing w:val="2"/>
                <w:sz w:val="24"/>
                <w:szCs w:val="24"/>
                <w:shd w:val="clear" w:color="auto" w:fill="FFFFFF"/>
                <w:lang w:val="en-US"/>
              </w:rPr>
            </w:pPr>
            <w:r>
              <w:rPr>
                <w:rFonts w:ascii="Times New Roman" w:hAnsi="Times New Roman"/>
                <w:spacing w:val="2"/>
                <w:sz w:val="24"/>
                <w:szCs w:val="24"/>
                <w:shd w:val="clear" w:color="auto" w:fill="FFFFFF"/>
                <w:lang w:val="en-US"/>
              </w:rPr>
              <w:t>(b)</w:t>
            </w:r>
          </w:p>
        </w:tc>
      </w:tr>
      <w:tr w:rsidR="00951C1B" w:rsidTr="006708F8">
        <w:tc>
          <w:tcPr>
            <w:tcW w:w="9061" w:type="dxa"/>
            <w:gridSpan w:val="4"/>
          </w:tcPr>
          <w:p w:rsidR="00951C1B" w:rsidRPr="006708F8" w:rsidRDefault="00951C1B" w:rsidP="00D50A08">
            <w:pPr>
              <w:spacing w:after="0" w:line="360" w:lineRule="auto"/>
              <w:rPr>
                <w:rFonts w:ascii="Times New Roman" w:hAnsi="Times New Roman"/>
                <w:spacing w:val="2"/>
                <w:sz w:val="24"/>
                <w:szCs w:val="24"/>
                <w:shd w:val="clear" w:color="auto" w:fill="FFFFFF"/>
                <w:lang w:val="en-US"/>
              </w:rPr>
            </w:pPr>
            <w:r w:rsidRPr="006708F8">
              <w:rPr>
                <w:rFonts w:ascii="Times New Roman" w:hAnsi="Times New Roman"/>
                <w:bCs/>
                <w:spacing w:val="2"/>
                <w:sz w:val="24"/>
                <w:szCs w:val="24"/>
                <w:shd w:val="clear" w:color="auto" w:fill="FFFFFF"/>
                <w:lang w:val="en-US"/>
              </w:rPr>
              <w:t>Fig. 3. Effect of Re values on experimental mixing time: with normal reagent concentration (a) and with adjusted reagent concentration (b).</w:t>
            </w:r>
          </w:p>
        </w:tc>
      </w:tr>
      <w:tr w:rsidR="006708F8" w:rsidTr="006708F8">
        <w:trPr>
          <w:trHeight w:val="570"/>
        </w:trPr>
        <w:tc>
          <w:tcPr>
            <w:tcW w:w="2011" w:type="dxa"/>
          </w:tcPr>
          <w:p w:rsidR="001F24CE" w:rsidRDefault="001F24CE" w:rsidP="001F24CE">
            <w:pPr>
              <w:spacing w:after="0" w:line="360" w:lineRule="auto"/>
              <w:rPr>
                <w:rFonts w:ascii="Times New Roman" w:hAnsi="Times New Roman"/>
                <w:b/>
                <w:bCs/>
                <w:spacing w:val="2"/>
                <w:sz w:val="24"/>
                <w:szCs w:val="24"/>
                <w:shd w:val="clear" w:color="auto" w:fill="FFFFFF"/>
                <w:lang w:val="en-US"/>
              </w:rPr>
            </w:pPr>
          </w:p>
        </w:tc>
        <w:tc>
          <w:tcPr>
            <w:tcW w:w="5004" w:type="dxa"/>
            <w:gridSpan w:val="2"/>
          </w:tcPr>
          <w:p w:rsidR="001F24CE" w:rsidRDefault="001F24CE" w:rsidP="001F24CE">
            <w:pPr>
              <w:spacing w:after="0" w:line="360" w:lineRule="auto"/>
              <w:rPr>
                <w:rFonts w:ascii="Times New Roman" w:hAnsi="Times New Roman"/>
                <w:b/>
                <w:bCs/>
                <w:spacing w:val="2"/>
                <w:sz w:val="24"/>
                <w:szCs w:val="24"/>
                <w:shd w:val="clear" w:color="auto" w:fill="FFFFFF"/>
                <w:lang w:val="en-US"/>
              </w:rPr>
            </w:pPr>
            <w:r w:rsidRPr="009134EF">
              <w:rPr>
                <w:rFonts w:ascii="Times New Roman" w:hAnsi="Times New Roman"/>
                <w:noProof/>
                <w:spacing w:val="2"/>
                <w:sz w:val="24"/>
                <w:szCs w:val="24"/>
                <w:shd w:val="clear" w:color="auto" w:fill="FFFFFF"/>
                <w:lang w:val="en-US"/>
              </w:rPr>
              <w:drawing>
                <wp:inline distT="0" distB="0" distL="0" distR="0" wp14:anchorId="6E679BD5" wp14:editId="17D22C6C">
                  <wp:extent cx="2890345" cy="1922780"/>
                  <wp:effectExtent l="0" t="0" r="5715" b="1270"/>
                  <wp:docPr id="11"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c>
          <w:tcPr>
            <w:tcW w:w="2046" w:type="dxa"/>
          </w:tcPr>
          <w:p w:rsidR="001F24CE" w:rsidRDefault="001F24CE" w:rsidP="001F24CE">
            <w:pPr>
              <w:spacing w:after="0" w:line="360" w:lineRule="auto"/>
              <w:rPr>
                <w:rFonts w:ascii="Times New Roman" w:hAnsi="Times New Roman"/>
                <w:b/>
                <w:bCs/>
                <w:spacing w:val="2"/>
                <w:sz w:val="24"/>
                <w:szCs w:val="24"/>
                <w:shd w:val="clear" w:color="auto" w:fill="FFFFFF"/>
                <w:lang w:val="en-US"/>
              </w:rPr>
            </w:pPr>
          </w:p>
        </w:tc>
      </w:tr>
      <w:tr w:rsidR="006708F8" w:rsidTr="006708F8">
        <w:trPr>
          <w:trHeight w:val="570"/>
        </w:trPr>
        <w:tc>
          <w:tcPr>
            <w:tcW w:w="9061" w:type="dxa"/>
            <w:gridSpan w:val="4"/>
          </w:tcPr>
          <w:p w:rsidR="006708F8" w:rsidRPr="006708F8" w:rsidRDefault="006708F8" w:rsidP="00951C1B">
            <w:pPr>
              <w:spacing w:line="360" w:lineRule="auto"/>
              <w:rPr>
                <w:rFonts w:ascii="Times New Roman" w:hAnsi="Times New Roman"/>
                <w:bCs/>
                <w:spacing w:val="2"/>
                <w:sz w:val="24"/>
                <w:szCs w:val="24"/>
                <w:shd w:val="clear" w:color="auto" w:fill="FFFFFF"/>
                <w:lang w:val="en-US"/>
              </w:rPr>
            </w:pPr>
            <w:r w:rsidRPr="006708F8">
              <w:rPr>
                <w:rFonts w:ascii="Times New Roman" w:hAnsi="Times New Roman"/>
                <w:bCs/>
                <w:spacing w:val="2"/>
                <w:sz w:val="24"/>
                <w:szCs w:val="24"/>
                <w:shd w:val="clear" w:color="auto" w:fill="FFFFFF"/>
                <w:lang w:val="en-US"/>
              </w:rPr>
              <w:t>Fig. 4. Effect of Re values on predicted mixing time</w:t>
            </w:r>
            <w:r>
              <w:rPr>
                <w:rFonts w:ascii="Times New Roman" w:hAnsi="Times New Roman"/>
                <w:bCs/>
                <w:spacing w:val="2"/>
                <w:sz w:val="24"/>
                <w:szCs w:val="24"/>
                <w:shd w:val="clear" w:color="auto" w:fill="FFFFFF"/>
                <w:lang w:val="en-US"/>
              </w:rPr>
              <w:t>.</w:t>
            </w:r>
          </w:p>
        </w:tc>
      </w:tr>
    </w:tbl>
    <w:p w:rsidR="009134EF" w:rsidRPr="009134EF" w:rsidRDefault="009134EF" w:rsidP="00D50A08">
      <w:pPr>
        <w:spacing w:after="0" w:line="360" w:lineRule="auto"/>
        <w:rPr>
          <w:rFonts w:ascii="Times New Roman" w:hAnsi="Times New Roman"/>
          <w:i/>
          <w:spacing w:val="2"/>
          <w:sz w:val="24"/>
          <w:szCs w:val="24"/>
          <w:shd w:val="clear" w:color="auto" w:fill="FFFFFF"/>
          <w:lang w:val="en-US"/>
        </w:rPr>
      </w:pPr>
      <w:r w:rsidRPr="009134EF">
        <w:rPr>
          <w:rFonts w:ascii="Times New Roman" w:hAnsi="Times New Roman"/>
          <w:i/>
          <w:spacing w:val="2"/>
          <w:sz w:val="24"/>
          <w:szCs w:val="24"/>
          <w:shd w:val="clear" w:color="auto" w:fill="FFFFFF"/>
          <w:lang w:val="en-US"/>
        </w:rPr>
        <w:t>Mixing performance characterization based on mixing times</w:t>
      </w:r>
      <w:r w:rsidR="00D50A08">
        <w:rPr>
          <w:rFonts w:ascii="Times New Roman" w:hAnsi="Times New Roman"/>
          <w:i/>
          <w:spacing w:val="2"/>
          <w:sz w:val="24"/>
          <w:szCs w:val="24"/>
          <w:shd w:val="clear" w:color="auto" w:fill="FFFFFF"/>
          <w:lang w:val="en-US"/>
        </w:rPr>
        <w:t>.</w:t>
      </w:r>
    </w:p>
    <w:p w:rsidR="009134EF" w:rsidRPr="009134EF" w:rsidRDefault="009134EF" w:rsidP="00D50A08">
      <w:pPr>
        <w:spacing w:after="0" w:line="360" w:lineRule="auto"/>
        <w:rPr>
          <w:rFonts w:ascii="Times New Roman" w:hAnsi="Times New Roman"/>
          <w:spacing w:val="2"/>
          <w:sz w:val="24"/>
          <w:szCs w:val="24"/>
          <w:shd w:val="clear" w:color="auto" w:fill="FFFFFF"/>
          <w:lang w:val="en-US"/>
        </w:rPr>
      </w:pPr>
      <w:r w:rsidRPr="009134EF">
        <w:rPr>
          <w:rFonts w:ascii="Times New Roman" w:hAnsi="Times New Roman"/>
          <w:spacing w:val="2"/>
          <w:sz w:val="24"/>
          <w:szCs w:val="24"/>
          <w:shd w:val="clear" w:color="auto" w:fill="FFFFFF"/>
          <w:lang w:val="en-US"/>
        </w:rPr>
        <w:t>High mixing performance is characterized by low mixing time. Fig. 3 and 4, show the effect of changing Re on experimental mixing time (t</w:t>
      </w:r>
      <w:r w:rsidRPr="009134EF">
        <w:rPr>
          <w:rFonts w:ascii="Times New Roman" w:hAnsi="Times New Roman"/>
          <w:spacing w:val="2"/>
          <w:sz w:val="24"/>
          <w:szCs w:val="24"/>
          <w:shd w:val="clear" w:color="auto" w:fill="FFFFFF"/>
          <w:vertAlign w:val="subscript"/>
          <w:lang w:val="en-US"/>
        </w:rPr>
        <w:t>m</w:t>
      </w:r>
      <w:r w:rsidRPr="009134EF">
        <w:rPr>
          <w:rFonts w:ascii="Times New Roman" w:hAnsi="Times New Roman"/>
          <w:spacing w:val="2"/>
          <w:sz w:val="24"/>
          <w:szCs w:val="24"/>
          <w:shd w:val="clear" w:color="auto" w:fill="FFFFFF"/>
          <w:lang w:val="en-US"/>
        </w:rPr>
        <w:t>) and on predicted mixing time (t</w:t>
      </w:r>
      <w:r w:rsidRPr="009134EF">
        <w:rPr>
          <w:rFonts w:ascii="Times New Roman" w:hAnsi="Times New Roman"/>
          <w:spacing w:val="2"/>
          <w:sz w:val="24"/>
          <w:szCs w:val="24"/>
          <w:shd w:val="clear" w:color="auto" w:fill="FFFFFF"/>
          <w:vertAlign w:val="subscript"/>
          <w:lang w:val="en-US"/>
        </w:rPr>
        <w:t>mp</w:t>
      </w:r>
      <w:r w:rsidRPr="009134EF">
        <w:rPr>
          <w:rFonts w:ascii="Times New Roman" w:hAnsi="Times New Roman"/>
          <w:spacing w:val="2"/>
          <w:sz w:val="24"/>
          <w:szCs w:val="24"/>
          <w:shd w:val="clear" w:color="auto" w:fill="FFFFFF"/>
          <w:lang w:val="en-US"/>
        </w:rPr>
        <w:t>) respectively. It is clear from the figures, by comparison, that values of experimental mixing time at a given Re are more distinct than the predicted ones which are clustered together. Again, the range of values of t</w:t>
      </w:r>
      <w:r w:rsidRPr="009134EF">
        <w:rPr>
          <w:rFonts w:ascii="Times New Roman" w:hAnsi="Times New Roman"/>
          <w:spacing w:val="2"/>
          <w:sz w:val="24"/>
          <w:szCs w:val="24"/>
          <w:shd w:val="clear" w:color="auto" w:fill="FFFFFF"/>
          <w:vertAlign w:val="subscript"/>
          <w:lang w:val="en-US"/>
        </w:rPr>
        <w:t>mp</w:t>
      </w:r>
      <w:r w:rsidRPr="009134EF">
        <w:rPr>
          <w:rFonts w:ascii="Times New Roman" w:hAnsi="Times New Roman"/>
          <w:spacing w:val="2"/>
          <w:sz w:val="24"/>
          <w:szCs w:val="24"/>
          <w:shd w:val="clear" w:color="auto" w:fill="FFFFFF"/>
          <w:lang w:val="en-US"/>
        </w:rPr>
        <w:t xml:space="preserve"> is lower than the experimental mixing time (t</w:t>
      </w:r>
      <w:r w:rsidRPr="009134EF">
        <w:rPr>
          <w:rFonts w:ascii="Times New Roman" w:hAnsi="Times New Roman"/>
          <w:spacing w:val="2"/>
          <w:sz w:val="24"/>
          <w:szCs w:val="24"/>
          <w:shd w:val="clear" w:color="auto" w:fill="FFFFFF"/>
          <w:vertAlign w:val="subscript"/>
          <w:lang w:val="en-US"/>
        </w:rPr>
        <w:t>m</w:t>
      </w:r>
      <w:r w:rsidRPr="009134EF">
        <w:rPr>
          <w:rFonts w:ascii="Times New Roman" w:hAnsi="Times New Roman"/>
          <w:spacing w:val="2"/>
          <w:sz w:val="24"/>
          <w:szCs w:val="24"/>
          <w:shd w:val="clear" w:color="auto" w:fill="FFFFFF"/>
          <w:lang w:val="en-US"/>
        </w:rPr>
        <w:t>). Fig. 3a and 3b were derived from the absorbance data presented in Fig. 2a and 2b, and the same discussion applies. Although it is not quite clear from Fig. 4 due to the clustered points; for all Re, t</w:t>
      </w:r>
      <w:r w:rsidRPr="009134EF">
        <w:rPr>
          <w:rFonts w:ascii="Times New Roman" w:hAnsi="Times New Roman"/>
          <w:spacing w:val="2"/>
          <w:sz w:val="24"/>
          <w:szCs w:val="24"/>
          <w:shd w:val="clear" w:color="auto" w:fill="FFFFFF"/>
          <w:vertAlign w:val="subscript"/>
          <w:lang w:val="en-US"/>
        </w:rPr>
        <w:t>mp</w:t>
      </w:r>
      <w:r w:rsidRPr="009134EF">
        <w:rPr>
          <w:rFonts w:ascii="Times New Roman" w:hAnsi="Times New Roman"/>
          <w:spacing w:val="2"/>
          <w:sz w:val="24"/>
          <w:szCs w:val="24"/>
          <w:shd w:val="clear" w:color="auto" w:fill="FFFFFF"/>
          <w:lang w:val="en-US"/>
        </w:rPr>
        <w:t xml:space="preserve"> was least for arrow mixer and maximum for Y-mixer. t</w:t>
      </w:r>
      <w:r w:rsidRPr="009134EF">
        <w:rPr>
          <w:rFonts w:ascii="Times New Roman" w:hAnsi="Times New Roman"/>
          <w:spacing w:val="2"/>
          <w:sz w:val="24"/>
          <w:szCs w:val="24"/>
          <w:shd w:val="clear" w:color="auto" w:fill="FFFFFF"/>
          <w:vertAlign w:val="subscript"/>
          <w:lang w:val="en-US"/>
        </w:rPr>
        <w:t>mp</w:t>
      </w:r>
      <w:r w:rsidRPr="009134EF">
        <w:rPr>
          <w:rFonts w:ascii="Times New Roman" w:hAnsi="Times New Roman"/>
          <w:spacing w:val="2"/>
          <w:sz w:val="24"/>
          <w:szCs w:val="24"/>
          <w:shd w:val="clear" w:color="auto" w:fill="FFFFFF"/>
          <w:lang w:val="en-US"/>
        </w:rPr>
        <w:t xml:space="preserve"> increased for all mixers as Re value was decreased. The increment in t</w:t>
      </w:r>
      <w:r w:rsidRPr="009134EF">
        <w:rPr>
          <w:rFonts w:ascii="Times New Roman" w:hAnsi="Times New Roman"/>
          <w:spacing w:val="2"/>
          <w:sz w:val="24"/>
          <w:szCs w:val="24"/>
          <w:shd w:val="clear" w:color="auto" w:fill="FFFFFF"/>
          <w:vertAlign w:val="subscript"/>
          <w:lang w:val="en-US"/>
        </w:rPr>
        <w:t>mp</w:t>
      </w:r>
      <w:r w:rsidRPr="009134EF">
        <w:rPr>
          <w:rFonts w:ascii="Times New Roman" w:hAnsi="Times New Roman"/>
          <w:spacing w:val="2"/>
          <w:sz w:val="24"/>
          <w:szCs w:val="24"/>
          <w:shd w:val="clear" w:color="auto" w:fill="FFFFFF"/>
          <w:lang w:val="en-US"/>
        </w:rPr>
        <w:t xml:space="preserve"> was gradual but steeped up at Re &lt; 12.4; similar step-up with decreasing Re is also noticeable in Fig. 3a; meaning that the sensitivity of </w:t>
      </w:r>
      <w:r w:rsidRPr="009134EF">
        <w:rPr>
          <w:rFonts w:ascii="Times New Roman" w:hAnsi="Times New Roman"/>
          <w:sz w:val="24"/>
          <w:szCs w:val="24"/>
          <w:lang w:val="en-US"/>
        </w:rPr>
        <w:t>mixing performance to changes in Re is higher at low Re</w:t>
      </w:r>
      <w:r w:rsidRPr="009134EF">
        <w:rPr>
          <w:rFonts w:ascii="Times New Roman" w:hAnsi="Times New Roman"/>
          <w:spacing w:val="2"/>
          <w:sz w:val="24"/>
          <w:szCs w:val="24"/>
          <w:shd w:val="clear" w:color="auto" w:fill="FFFFFF"/>
          <w:lang w:val="en-US"/>
        </w:rPr>
        <w:t xml:space="preserve"> than at high Re. Also, from Fig. 4, the maximum value of t</w:t>
      </w:r>
      <w:r w:rsidRPr="009134EF">
        <w:rPr>
          <w:rFonts w:ascii="Times New Roman" w:hAnsi="Times New Roman"/>
          <w:spacing w:val="2"/>
          <w:sz w:val="24"/>
          <w:szCs w:val="24"/>
          <w:shd w:val="clear" w:color="auto" w:fill="FFFFFF"/>
          <w:vertAlign w:val="subscript"/>
          <w:lang w:val="en-US"/>
        </w:rPr>
        <w:t>mp</w:t>
      </w:r>
      <w:r w:rsidRPr="009134EF">
        <w:rPr>
          <w:rFonts w:ascii="Times New Roman" w:hAnsi="Times New Roman"/>
          <w:spacing w:val="2"/>
          <w:sz w:val="24"/>
          <w:szCs w:val="24"/>
          <w:shd w:val="clear" w:color="auto" w:fill="FFFFFF"/>
          <w:lang w:val="en-US"/>
        </w:rPr>
        <w:t xml:space="preserve"> was achieved at the least flow velocity (Re = 0.2). While from Fig. 3b, a very low t</w:t>
      </w:r>
      <w:r w:rsidRPr="009134EF">
        <w:rPr>
          <w:rFonts w:ascii="Times New Roman" w:hAnsi="Times New Roman"/>
          <w:spacing w:val="2"/>
          <w:sz w:val="24"/>
          <w:szCs w:val="24"/>
          <w:shd w:val="clear" w:color="auto" w:fill="FFFFFF"/>
          <w:vertAlign w:val="subscript"/>
          <w:lang w:val="en-US"/>
        </w:rPr>
        <w:t>m</w:t>
      </w:r>
      <w:r w:rsidRPr="009134EF">
        <w:rPr>
          <w:rFonts w:ascii="Times New Roman" w:hAnsi="Times New Roman"/>
          <w:spacing w:val="2"/>
          <w:sz w:val="24"/>
          <w:szCs w:val="24"/>
          <w:shd w:val="clear" w:color="auto" w:fill="FFFFFF"/>
          <w:lang w:val="en-US"/>
        </w:rPr>
        <w:t xml:space="preserve"> (high mixing performance) was obtained and that appears unreasonable because at very low Re, mixing is wholly dominated by molecular diffusion without convective (vortex) enhancement. However, numerical simulations have shown that reduction of Re at certain range, could lead to increase in mixing quality</w:t>
      </w:r>
      <w:r w:rsidR="00CB1668">
        <w:rPr>
          <w:rFonts w:ascii="Times New Roman" w:hAnsi="Times New Roman"/>
          <w:spacing w:val="2"/>
          <w:sz w:val="24"/>
          <w:szCs w:val="24"/>
          <w:shd w:val="clear" w:color="auto" w:fill="FFFFFF"/>
          <w:lang w:val="en-US"/>
        </w:rPr>
        <w:t>.</w:t>
      </w:r>
      <w:r w:rsidRPr="009134EF">
        <w:rPr>
          <w:rFonts w:ascii="Times New Roman" w:hAnsi="Times New Roman"/>
          <w:spacing w:val="2"/>
          <w:sz w:val="24"/>
          <w:szCs w:val="24"/>
          <w:shd w:val="clear" w:color="auto" w:fill="FFFFFF"/>
          <w:lang w:val="en-US"/>
        </w:rPr>
        <w:fldChar w:fldCharType="begin" w:fldLock="1"/>
      </w:r>
      <w:r w:rsidR="001312F9">
        <w:rPr>
          <w:rFonts w:ascii="Times New Roman" w:hAnsi="Times New Roman"/>
          <w:spacing w:val="2"/>
          <w:sz w:val="24"/>
          <w:szCs w:val="24"/>
          <w:shd w:val="clear" w:color="auto" w:fill="FFFFFF"/>
          <w:lang w:val="en-US"/>
        </w:rPr>
        <w:instrText>ADDIN CSL_CITATION {"citationItems":[{"id":"ITEM-1","itemData":{"DOI":"10.1016/j.cej.2003.10.017","ISSN":"13858947","abstract":"The importance of micromixers for microreaction technology demands some well-founded knowledge on the mixing behaviour of these devices. We show by numerical simulations as well as experimentally that increasing vorticity inside static T-shaped micromixers with rectangular cross-sections occurs even at low Reynolds numbers and that these effects can be used to improve the mixing quality. Hereby we distinguish between three flow regimes. Additionally, we give a new identification number for this kind of problems and we show that this number suits for static T-mixers. This is confirmed by simulations and experimental measurements.The results will help to understand the mixing process inside microchannels. The overall aim is to develop basic rules for the design and implementation of successful micromixers. © 2004 Elsevier B.V. All rights reserved.","author":[{"dropping-particle":"","family":"Engler","given":"Michael","non-dropping-particle":"","parse-names":false,"suffix":""},{"dropping-particle":"","family":"Kockmann","given":"Norbert","non-dropping-particle":"","parse-names":false,"suffix":""},{"dropping-particle":"","family":"Kiefer","given":"Thomas","non-dropping-particle":"","parse-names":false,"suffix":""},{"dropping-particle":"","family":"Woias","given":"Peter","non-dropping-particle":"","parse-names":false,"suffix":""}],"container-title":"Chemical Engineering Journal","id":"ITEM-1","issue":"1-3","issued":{"date-parts":[["2004"]]},"page":"315-322","title":"Numerical and experimental investigations on liquid mixing in static micromixers","type":"article-journal","volume":"101"},"uris":["http://www.mendeley.com/documents/?uuid=fe9a18ce-3d0f-405a-a273-ec48bf5c7131"]},{"id":"ITEM-2","itemData":{"DOI":"10.1016/j.snb.2006.01.004","ISSN":"09254005","abstract":"This work presents a theoretical and experimental investigation of convective micromixing in various mixer structures and combinations with the aim of high mixing intensity and a high throughput. Different mixing elements are integrated on a silicon chip to achieve a device for high flow rates above 20 kg/h. Test structures are fabricated and characterized according to their flow behavior and mixing performance. Flow measurements with pH neutralization and indication by bromothymol blue confirm the numerical simulations of the flow characteristics and concentration fields. The integral mixing quality in the micromixer is measured with the iodide-iodate reaction (Villermaux-Dushman) and shows excellent values for high Re numbers. This offers the potential to use microstructures for new applications in the production of chemicals. With the help of the obtained experimental and theoretical results, a new class of dimensionless numbers is proposed which characterizes the effectiveness of a mixing device and of the mixing process and compares different mixing times. © 2006 Elsevier B.V. All rights reserved.","author":[{"dropping-particle":"","family":"Kockmann","given":"Norbert","non-dropping-particle":"","parse-names":false,"suffix":""},{"dropping-particle":"","family":"Kiefer","given":"Thomas","non-dropping-particle":"","parse-names":false,"suffix":""},{"dropping-particle":"","family":"Engler","given":"Michael","non-dropping-particle":"","parse-names":false,"suffix":""},{"dropping-particle":"","family":"Woias","given":"Peter","non-dropping-particle":"","parse-names":false,"suffix":""}],"container-title":"Sensors and Actuators, B: Chemical","id":"ITEM-2","issue":"2","issued":{"date-parts":[["2006"]]},"page":"495-508","title":"Convective mixing and chemical reactions in microchannels with high flow rates","type":"article-journal","volume":"117"},"uris":["http://www.mendeley.com/documents/?uuid=3162bd42-11f4-4559-b936-21f597c55bb8"]},{"id":"ITEM-3","itemData":{"DOI":"10.1117/12.478157","abstract":"The design and calculation of micro mixers is done by conventional analytical and numerical calculations. Due to the small dimensions, laminar flow is expected and the mass transfer is supposed to be dominated by diffusion. A detailed CFD-study by CFDRC-ACE+ of simple static mixers shows a deviation from strictly laminar flow in a wide range of Re numbers and channel dimensions. The static mixers under test have a T-Profile with rectangular cross sections and characteristic dimensions of 50 to 400 μm. The mean flow velocity is varied from 0.01 m/s to 5 m/s, which are typical values for chemical and biological applications, chemical analysis, and microfluidics with acceptable pressure losses. With increasing flow velocity and increasing Re numbers the flow starts to develop a vortex at the entrance of the mixing channel. With further increasing velocity the flow tends to instabilities, which causes the break up of the flow symmetry. With the onset of the vortex formation and with the occurrence of the flow instabilities the mass transfer is enhanced by the exchange of fluid elements. The laminar diffusion model cannot describe this mixing effect. A simple analytical model for first calculations is proposed.","author":[{"dropping-particle":"","family":"Kockmann","given":"Norbert","non-dropping-particle":"","parse-names":false,"suffix":""},{"dropping-particle":"","family":"Foll","given":"Claus","non-dropping-particle":"","parse-names":false,"suffix":""},{"dropping-particle":"","family":"Woias","given":"Peter","non-dropping-particle":"","parse-names":false,"suffix":""}],"container-title":"Microfluidics, BioMEMS, and Medical Microsystems","id":"ITEM-3","issued":{"date-parts":[["2003"]]},"page":"319","title":"Flow regimes and mass transfer characteristics in static micromixers","type":"article-journal","volume":"4982"},"uris":["http://www.mendeley.com/documents/?uuid=ebbddf4b-ac5e-4aa6-8ab2-a587e924cec2"]},{"id":"ITEM-4","itemData":{"DOI":"10.1016/j.cej.2007.07.048","author":[{"dropping-particle":"","family":"Soleymani","given":"A","non-dropping-particle":"","parse-names":false,"suffix":""},{"dropping-particle":"","family":"Kolehmainen","given":"E","non-dropping-particle":"","parse-names":false,"suffix":""},{"dropping-particle":"","family":"Turunen","given":"I","non-dropping-particle":"","parse-names":false,"suffix":""}],"container-title":"Chemical Engineering Journal","id":"ITEM-4","issued":{"date-parts":[["2008"]]},"page":"S219-S228","title":"Numerical and experimental investigations of liquid mixing in T-type micromixers","type":"article-journal","volume":"135"},"uris":["http://www.mendeley.com/documents/?uuid=1dbe5a6b-b71f-47d3-8ef3-58af7ac2e8db"]}],"mendeley":{"formattedCitation":"&lt;sup&gt;14–17&lt;/sup&gt;","plainTextFormattedCitation":"14–17","previouslyFormattedCitation":"&lt;sup&gt;14–17&lt;/sup&gt;"},"properties":{"noteIndex":0},"schema":"https://github.com/citation-style-language/schema/raw/master/csl-citation.json"}</w:instrText>
      </w:r>
      <w:r w:rsidRPr="009134EF">
        <w:rPr>
          <w:rFonts w:ascii="Times New Roman" w:hAnsi="Times New Roman"/>
          <w:spacing w:val="2"/>
          <w:sz w:val="24"/>
          <w:szCs w:val="24"/>
          <w:shd w:val="clear" w:color="auto" w:fill="FFFFFF"/>
          <w:lang w:val="en-US"/>
        </w:rPr>
        <w:fldChar w:fldCharType="separate"/>
      </w:r>
      <w:r w:rsidR="005B153C" w:rsidRPr="005B153C">
        <w:rPr>
          <w:rFonts w:ascii="Times New Roman" w:hAnsi="Times New Roman"/>
          <w:noProof/>
          <w:spacing w:val="2"/>
          <w:sz w:val="24"/>
          <w:szCs w:val="24"/>
          <w:shd w:val="clear" w:color="auto" w:fill="FFFFFF"/>
          <w:vertAlign w:val="superscript"/>
          <w:lang w:val="en-US"/>
        </w:rPr>
        <w:t>14–17</w:t>
      </w:r>
      <w:r w:rsidRPr="009134EF">
        <w:rPr>
          <w:rFonts w:ascii="Times New Roman" w:hAnsi="Times New Roman"/>
          <w:spacing w:val="2"/>
          <w:sz w:val="24"/>
          <w:szCs w:val="24"/>
          <w:shd w:val="clear" w:color="auto" w:fill="FFFFFF"/>
          <w:lang w:val="en-US"/>
        </w:rPr>
        <w:fldChar w:fldCharType="end"/>
      </w:r>
      <w:r w:rsidRPr="009134EF">
        <w:rPr>
          <w:rFonts w:ascii="Times New Roman" w:hAnsi="Times New Roman"/>
          <w:spacing w:val="2"/>
          <w:sz w:val="24"/>
          <w:szCs w:val="24"/>
          <w:shd w:val="clear" w:color="auto" w:fill="FFFFFF"/>
          <w:lang w:val="en-US"/>
        </w:rPr>
        <w:t xml:space="preserve"> But that does not justify the inconsistency in order of performance encountered here, which is not different from an earlier report</w:t>
      </w:r>
      <w:r w:rsidR="00CB1668">
        <w:rPr>
          <w:rFonts w:ascii="Times New Roman" w:hAnsi="Times New Roman"/>
          <w:spacing w:val="2"/>
          <w:sz w:val="24"/>
          <w:szCs w:val="24"/>
          <w:shd w:val="clear" w:color="auto" w:fill="FFFFFF"/>
          <w:lang w:val="en-US"/>
        </w:rPr>
        <w:t>.</w:t>
      </w:r>
      <w:r w:rsidRPr="009134EF">
        <w:rPr>
          <w:rFonts w:ascii="Times New Roman" w:hAnsi="Times New Roman"/>
          <w:spacing w:val="2"/>
          <w:sz w:val="24"/>
          <w:szCs w:val="24"/>
          <w:shd w:val="clear" w:color="auto" w:fill="FFFFFF"/>
          <w:lang w:val="en-US"/>
        </w:rPr>
        <w:fldChar w:fldCharType="begin" w:fldLock="1"/>
      </w:r>
      <w:r w:rsidR="001312F9">
        <w:rPr>
          <w:rFonts w:ascii="Times New Roman" w:hAnsi="Times New Roman"/>
          <w:spacing w:val="2"/>
          <w:sz w:val="24"/>
          <w:szCs w:val="24"/>
          <w:shd w:val="clear" w:color="auto" w:fill="FFFFFF"/>
          <w:lang w:val="en-US"/>
        </w:rPr>
        <w:instrText>ADDIN CSL_CITATION {"citationItems":[{"id":"ITEM-1","itemData":{"DOI":"10.13140/RG.2.2.33028.83847/1","abstract":"Mixing is desired in many chemical processes. The performance of a mixing device is commonly assessed using the Villermaux-Dushman test reaction. This study was aimed at comparing the mixing performances of T, Y and arrow-shaped micromixers by employing the iodide/iodate test reaction method of Villermaux-Dushman at very low Reynolds numbers (below 22). Test solutions were fed through T, Y and arrow-shaped micromixers of 0.5 mm uniform diameter at different volume flow rates. By comparison of absorbance values of products from the three mixers, Y-shaped micromixer gave the best mixing performance at volume flow rates below 15 mL/hr. The performance was approximately the same for the three mixers at flow rate of 3 mL/hr. Absorbance values of the micromixed fluids were found to decrease with time. The discussion of results revealed a lot of anomalies with respect to usual results at higher flow rates therefore reasonable conclusion could not be made. It was recommended that the study be repeated with the inclusion of mixing time for results verification and adoption of on-line means of absorbance measurement for more accurate results.","author":[{"dropping-particle":"","family":"Okwundu","given":"Onyeka","non-dropping-particle":"","parse-names":false,"suffix":""},{"dropping-particle":"","family":"Fuseini","given":"Mohammed","non-dropping-particle":"","parse-names":false,"suffix":""}],"id":"ITEM-1","issue":"May","issued":{"date-parts":[["2018"]]},"number-of-pages":"1-23","title":"Mixing performance of micromixers by Villermaux-Dushman reaction protocol at low Reynolds Number","type":"report"},"uris":["http://www.mendeley.com/documents/?uuid=b6a53bc4-ac5a-4bcc-a8f5-00abe2ebae48"]}],"mendeley":{"formattedCitation":"&lt;sup&gt;12&lt;/sup&gt;","plainTextFormattedCitation":"12","previouslyFormattedCitation":"&lt;sup&gt;12&lt;/sup&gt;"},"properties":{"noteIndex":0},"schema":"https://github.com/citation-style-language/schema/raw/master/csl-citation.json"}</w:instrText>
      </w:r>
      <w:r w:rsidRPr="009134EF">
        <w:rPr>
          <w:rFonts w:ascii="Times New Roman" w:hAnsi="Times New Roman"/>
          <w:spacing w:val="2"/>
          <w:sz w:val="24"/>
          <w:szCs w:val="24"/>
          <w:shd w:val="clear" w:color="auto" w:fill="FFFFFF"/>
          <w:lang w:val="en-US"/>
        </w:rPr>
        <w:fldChar w:fldCharType="separate"/>
      </w:r>
      <w:r w:rsidR="005B153C" w:rsidRPr="005B153C">
        <w:rPr>
          <w:rFonts w:ascii="Times New Roman" w:hAnsi="Times New Roman"/>
          <w:noProof/>
          <w:spacing w:val="2"/>
          <w:sz w:val="24"/>
          <w:szCs w:val="24"/>
          <w:shd w:val="clear" w:color="auto" w:fill="FFFFFF"/>
          <w:vertAlign w:val="superscript"/>
          <w:lang w:val="en-US"/>
        </w:rPr>
        <w:t>12</w:t>
      </w:r>
      <w:r w:rsidRPr="009134EF">
        <w:rPr>
          <w:rFonts w:ascii="Times New Roman" w:hAnsi="Times New Roman"/>
          <w:spacing w:val="2"/>
          <w:sz w:val="24"/>
          <w:szCs w:val="24"/>
          <w:shd w:val="clear" w:color="auto" w:fill="FFFFFF"/>
          <w:lang w:val="en-US"/>
        </w:rPr>
        <w:fldChar w:fldCharType="end"/>
      </w:r>
      <w:r w:rsidRPr="009134EF">
        <w:rPr>
          <w:rFonts w:ascii="Times New Roman" w:hAnsi="Times New Roman"/>
          <w:spacing w:val="2"/>
          <w:sz w:val="24"/>
          <w:szCs w:val="24"/>
          <w:shd w:val="clear" w:color="auto" w:fill="FFFFFF"/>
          <w:lang w:val="en-US"/>
        </w:rPr>
        <w:t xml:space="preserve"> Predicted mixing time of Fig. 4 does not conform to theoretical results </w:t>
      </w:r>
      <w:r w:rsidRPr="009134EF">
        <w:rPr>
          <w:rFonts w:ascii="Times New Roman" w:hAnsi="Times New Roman"/>
          <w:spacing w:val="2"/>
          <w:sz w:val="24"/>
          <w:szCs w:val="24"/>
          <w:shd w:val="clear" w:color="auto" w:fill="FFFFFF"/>
          <w:lang w:val="en-US"/>
        </w:rPr>
        <w:fldChar w:fldCharType="begin" w:fldLock="1"/>
      </w:r>
      <w:r w:rsidR="001312F9">
        <w:rPr>
          <w:rFonts w:ascii="Times New Roman" w:hAnsi="Times New Roman"/>
          <w:spacing w:val="2"/>
          <w:sz w:val="24"/>
          <w:szCs w:val="24"/>
          <w:shd w:val="clear" w:color="auto" w:fill="FFFFFF"/>
          <w:lang w:val="en-US"/>
        </w:rPr>
        <w:instrText>ADDIN CSL_CITATION {"citationItems":[{"id":"ITEM-1","itemData":{"DOI":"10.1016/j.cej.2003.10.017","ISSN":"13858947","abstract":"The importance of micromixers for microreaction technology demands some well-founded knowledge on the mixing behaviour of these devices. We show by numerical simulations as well as experimentally that increasing vorticity inside static T-shaped micromixers with rectangular cross-sections occurs even at low Reynolds numbers and that these effects can be used to improve the mixing quality. Hereby we distinguish between three flow regimes. Additionally, we give a new identification number for this kind of problems and we show that this number suits for static T-mixers. This is confirmed by simulations and experimental measurements.The results will help to understand the mixing process inside microchannels. The overall aim is to develop basic rules for the design and implementation of successful micromixers. © 2004 Elsevier B.V. All rights reserved.","author":[{"dropping-particle":"","family":"Engler","given":"Michael","non-dropping-particle":"","parse-names":false,"suffix":""},{"dropping-particle":"","family":"Kockmann","given":"Norbert","non-dropping-particle":"","parse-names":false,"suffix":""},{"dropping-particle":"","family":"Kiefer","given":"Thomas","non-dropping-particle":"","parse-names":false,"suffix":""},{"dropping-particle":"","family":"Woias","given":"Peter","non-dropping-particle":"","parse-names":false,"suffix":""}],"container-title":"Chemical Engineering Journal","id":"ITEM-1","issue":"1-3","issued":{"date-parts":[["2004"]]},"page":"315-322","title":"Numerical and experimental investigations on liquid mixing in static micromixers","type":"article-journal","volume":"101"},"uris":["http://www.mendeley.com/documents/?uuid=fe9a18ce-3d0f-405a-a273-ec48bf5c7131"]},{"id":"ITEM-2","itemData":{"DOI":"10.1016/j.snb.2006.01.004","ISSN":"09254005","abstract":"This work presents a theoretical and experimental investigation of convective micromixing in various mixer structures and combinations with the aim of high mixing intensity and a high throughput. Different mixing elements are integrated on a silicon chip to achieve a device for high flow rates above 20 kg/h. Test structures are fabricated and characterized according to their flow behavior and mixing performance. Flow measurements with pH neutralization and indication by bromothymol blue confirm the numerical simulations of the flow characteristics and concentration fields. The integral mixing quality in the micromixer is measured with the iodide-iodate reaction (Villermaux-Dushman) and shows excellent values for high Re numbers. This offers the potential to use microstructures for new applications in the production of chemicals. With the help of the obtained experimental and theoretical results, a new class of dimensionless numbers is proposed which characterizes the effectiveness of a mixing device and of the mixing process and compares different mixing times. © 2006 Elsevier B.V. All rights reserved.","author":[{"dropping-particle":"","family":"Kockmann","given":"Norbert","non-dropping-particle":"","parse-names":false,"suffix":""},{"dropping-particle":"","family":"Kiefer","given":"Thomas","non-dropping-particle":"","parse-names":false,"suffix":""},{"dropping-particle":"","family":"Engler","given":"Michael","non-dropping-particle":"","parse-names":false,"suffix":""},{"dropping-particle":"","family":"Woias","given":"Peter","non-dropping-particle":"","parse-names":false,"suffix":""}],"container-title":"Sensors and Actuators, B: Chemical","id":"ITEM-2","issue":"2","issued":{"date-parts":[["2006"]]},"page":"495-508","title":"Convective mixing and chemical reactions in microchannels with high flow rates","type":"article-journal","volume":"117"},"uris":["http://www.mendeley.com/documents/?uuid=3162bd42-11f4-4559-b936-21f597c55bb8"]},{"id":"ITEM-3","itemData":{"DOI":"10.1117/12.478157","abstract":"The design and calculation of micro mixers is done by conventional analytical and numerical calculations. Due to the small dimensions, laminar flow is expected and the mass transfer is supposed to be dominated by diffusion. A detailed CFD-study by CFDRC-ACE+ of simple static mixers shows a deviation from strictly laminar flow in a wide range of Re numbers and channel dimensions. The static mixers under test have a T-Profile with rectangular cross sections and characteristic dimensions of 50 to 400 μm. The mean flow velocity is varied from 0.01 m/s to 5 m/s, which are typical values for chemical and biological applications, chemical analysis, and microfluidics with acceptable pressure losses. With increasing flow velocity and increasing Re numbers the flow starts to develop a vortex at the entrance of the mixing channel. With further increasing velocity the flow tends to instabilities, which causes the break up of the flow symmetry. With the onset of the vortex formation and with the occurrence of the flow instabilities the mass transfer is enhanced by the exchange of fluid elements. The laminar diffusion model cannot describe this mixing effect. A simple analytical model for first calculations is proposed.","author":[{"dropping-particle":"","family":"Kockmann","given":"Norbert","non-dropping-particle":"","parse-names":false,"suffix":""},{"dropping-particle":"","family":"Foll","given":"Claus","non-dropping-particle":"","parse-names":false,"suffix":""},{"dropping-particle":"","family":"Woias","given":"Peter","non-dropping-particle":"","parse-names":false,"suffix":""}],"container-title":"Microfluidics, BioMEMS, and Medical Microsystems","id":"ITEM-3","issued":{"date-parts":[["2003"]]},"page":"319","title":"Flow regimes and mass transfer characteristics in static micromixers","type":"article-journal","volume":"4982"},"uris":["http://www.mendeley.com/documents/?uuid=ebbddf4b-ac5e-4aa6-8ab2-a587e924cec2"]},{"id":"ITEM-4","itemData":{"DOI":"10.1016/j.cej.2007.07.048","author":[{"dropping-particle":"","family":"Soleymani","given":"A","non-dropping-particle":"","parse-names":false,"suffix":""},{"dropping-particle":"","family":"Kolehmainen","given":"E","non-dropping-particle":"","parse-names":false,"suffix":""},{"dropping-particle":"","family":"Turunen","given":"I","non-dropping-particle":"","parse-names":false,"suffix":""}],"container-title":"Chemical Engineering Journal","id":"ITEM-4","issued":{"date-parts":[["2008"]]},"page":"S219-S228","title":"Numerical and experimental investigations of liquid mixing in T-type micromixers","type":"article-journal","volume":"135"},"uris":["http://www.mendeley.com/documents/?uuid=1dbe5a6b-b71f-47d3-8ef3-58af7ac2e8db"]}],"mendeley":{"formattedCitation":"&lt;sup&gt;14–17&lt;/sup&gt;","plainTextFormattedCitation":"14–17","previouslyFormattedCitation":"&lt;sup&gt;14–17&lt;/sup&gt;"},"properties":{"noteIndex":0},"schema":"https://github.com/citation-style-language/schema/raw/master/csl-citation.json"}</w:instrText>
      </w:r>
      <w:r w:rsidRPr="009134EF">
        <w:rPr>
          <w:rFonts w:ascii="Times New Roman" w:hAnsi="Times New Roman"/>
          <w:spacing w:val="2"/>
          <w:sz w:val="24"/>
          <w:szCs w:val="24"/>
          <w:shd w:val="clear" w:color="auto" w:fill="FFFFFF"/>
          <w:lang w:val="en-US"/>
        </w:rPr>
        <w:fldChar w:fldCharType="separate"/>
      </w:r>
      <w:r w:rsidR="005B153C" w:rsidRPr="005B153C">
        <w:rPr>
          <w:rFonts w:ascii="Times New Roman" w:hAnsi="Times New Roman"/>
          <w:noProof/>
          <w:spacing w:val="2"/>
          <w:sz w:val="24"/>
          <w:szCs w:val="24"/>
          <w:shd w:val="clear" w:color="auto" w:fill="FFFFFF"/>
          <w:vertAlign w:val="superscript"/>
          <w:lang w:val="en-US"/>
        </w:rPr>
        <w:t>14–17</w:t>
      </w:r>
      <w:r w:rsidRPr="009134EF">
        <w:rPr>
          <w:rFonts w:ascii="Times New Roman" w:hAnsi="Times New Roman"/>
          <w:spacing w:val="2"/>
          <w:sz w:val="24"/>
          <w:szCs w:val="24"/>
          <w:shd w:val="clear" w:color="auto" w:fill="FFFFFF"/>
          <w:lang w:val="en-US"/>
        </w:rPr>
        <w:fldChar w:fldCharType="end"/>
      </w:r>
      <w:r w:rsidRPr="009134EF">
        <w:rPr>
          <w:rFonts w:ascii="Times New Roman" w:hAnsi="Times New Roman"/>
          <w:spacing w:val="2"/>
          <w:sz w:val="24"/>
          <w:szCs w:val="24"/>
          <w:shd w:val="clear" w:color="auto" w:fill="FFFFFF"/>
          <w:lang w:val="en-US"/>
        </w:rPr>
        <w:t>, because the predicted model (Eq. 5)</w:t>
      </w:r>
      <w:r w:rsidR="00CB1668">
        <w:rPr>
          <w:rFonts w:ascii="Times New Roman" w:hAnsi="Times New Roman"/>
          <w:spacing w:val="2"/>
          <w:sz w:val="24"/>
          <w:szCs w:val="24"/>
          <w:shd w:val="clear" w:color="auto" w:fill="FFFFFF"/>
          <w:lang w:val="en-US"/>
        </w:rPr>
        <w:t>,</w:t>
      </w:r>
      <w:r w:rsidRPr="009134EF">
        <w:rPr>
          <w:rFonts w:ascii="Times New Roman" w:hAnsi="Times New Roman"/>
          <w:sz w:val="24"/>
          <w:szCs w:val="24"/>
          <w:lang w:val="en-US"/>
        </w:rPr>
        <w:fldChar w:fldCharType="begin" w:fldLock="1"/>
      </w:r>
      <w:r w:rsidR="001312F9">
        <w:rPr>
          <w:rFonts w:ascii="Times New Roman" w:hAnsi="Times New Roman"/>
          <w:sz w:val="24"/>
          <w:szCs w:val="24"/>
          <w:lang w:val="en-US"/>
        </w:rPr>
        <w:instrText>ADDIN CSL_CITATION {"citationItems":[{"id":"ITEM-1","itemData":{"DOI":"10.1016/j.cep.2011.06.006","ISSN":"10","author":[{"dropping-particle":"","family":"Commenge","given":"Jean Marc","non-dropping-particle":"","parse-names":false,"suffix":""},{"dropping-particle":"","family":"Falk","given":"Laurent","non-dropping-particle":"","parse-names":false,"suffix":""}],"container-title":"Chemical Engineering and Processing: Process Intensification","id":"ITEM-1","issue":"10","issued":{"date-parts":[["2011"]]},"page":"979-990","title":"Villermaux–Dushman protocol for experimental characterization of micromixers","type":"article-journal","volume":"50"},"uris":["http://www.mendeley.com/documents/?uuid=e29ec2c0-86b3-4a1c-8a25-efb133b84b50"]}],"mendeley":{"formattedCitation":"&lt;sup&gt;3&lt;/sup&gt;","plainTextFormattedCitation":"3","previouslyFormattedCitation":"&lt;sup&gt;3&lt;/sup&gt;"},"properties":{"noteIndex":0},"schema":"https://github.com/citation-style-language/schema/raw/master/csl-citation.json"}</w:instrText>
      </w:r>
      <w:r w:rsidRPr="009134EF">
        <w:rPr>
          <w:rFonts w:ascii="Times New Roman" w:hAnsi="Times New Roman"/>
          <w:sz w:val="24"/>
          <w:szCs w:val="24"/>
          <w:lang w:val="en-US"/>
        </w:rPr>
        <w:fldChar w:fldCharType="separate"/>
      </w:r>
      <w:r w:rsidR="005B153C" w:rsidRPr="005B153C">
        <w:rPr>
          <w:rFonts w:ascii="Times New Roman" w:hAnsi="Times New Roman"/>
          <w:noProof/>
          <w:sz w:val="24"/>
          <w:szCs w:val="24"/>
          <w:vertAlign w:val="superscript"/>
          <w:lang w:val="en-US"/>
        </w:rPr>
        <w:t>3</w:t>
      </w:r>
      <w:r w:rsidRPr="009134EF">
        <w:rPr>
          <w:rFonts w:ascii="Times New Roman" w:hAnsi="Times New Roman"/>
          <w:sz w:val="24"/>
          <w:szCs w:val="24"/>
          <w:lang w:val="en-US"/>
        </w:rPr>
        <w:fldChar w:fldCharType="end"/>
      </w:r>
      <w:r w:rsidRPr="009134EF">
        <w:rPr>
          <w:rFonts w:ascii="Times New Roman" w:hAnsi="Times New Roman"/>
          <w:sz w:val="24"/>
          <w:szCs w:val="24"/>
          <w:lang w:val="en-US"/>
        </w:rPr>
        <w:t xml:space="preserve"> is independent of chemical species in the mixed stream.</w:t>
      </w:r>
    </w:p>
    <w:p w:rsidR="009134EF" w:rsidRDefault="009134EF" w:rsidP="00D50A08">
      <w:pPr>
        <w:spacing w:after="0" w:line="360" w:lineRule="auto"/>
        <w:rPr>
          <w:rFonts w:ascii="Times New Roman" w:hAnsi="Times New Roman"/>
          <w:spacing w:val="2"/>
          <w:sz w:val="24"/>
          <w:szCs w:val="24"/>
          <w:shd w:val="clear" w:color="auto" w:fill="FFFFFF"/>
          <w:lang w:val="en-US"/>
        </w:rPr>
      </w:pPr>
      <w:r w:rsidRPr="009134EF">
        <w:rPr>
          <w:rFonts w:ascii="Times New Roman" w:hAnsi="Times New Roman"/>
          <w:spacing w:val="2"/>
          <w:sz w:val="24"/>
          <w:szCs w:val="24"/>
          <w:shd w:val="clear" w:color="auto" w:fill="FFFFFF"/>
          <w:lang w:val="en-US"/>
        </w:rPr>
        <w:t xml:space="preserve">Effect of confluence shape on mixing performance can therefore be explained as follows. At a given Re &gt; 30, there is improvement in performance, since confluence shape encourages more fluid-fluid and/or fluid-wall impact when 2 fluid streams meet, and vice versa. Referring back to Fig. 1b, two factors are of importance in explaining the order of </w:t>
      </w:r>
      <w:r w:rsidRPr="009134EF">
        <w:rPr>
          <w:rFonts w:ascii="Times New Roman" w:hAnsi="Times New Roman"/>
          <w:spacing w:val="2"/>
          <w:sz w:val="24"/>
          <w:szCs w:val="24"/>
          <w:shd w:val="clear" w:color="auto" w:fill="FFFFFF"/>
          <w:lang w:val="en-US"/>
        </w:rPr>
        <w:lastRenderedPageBreak/>
        <w:t>performance: impact on collision and simultaneous angular deviation in fluid flow direction. When the inlet fluid streams approach each other from opposite directions, as in the T-shaped confluence, the fluid-fluid collision impact is ‘head on’ and maximum, compared to the lower impact obtainable when the streams approach each other at an angle (as in the Y and arrow-shaped confluences). The effect of bend on fluid mixing along channels</w:t>
      </w:r>
      <w:r w:rsidR="00CB1668">
        <w:rPr>
          <w:rFonts w:ascii="Times New Roman" w:hAnsi="Times New Roman"/>
          <w:spacing w:val="2"/>
          <w:sz w:val="24"/>
          <w:szCs w:val="24"/>
          <w:shd w:val="clear" w:color="auto" w:fill="FFFFFF"/>
          <w:lang w:val="en-US"/>
        </w:rPr>
        <w:t>,</w:t>
      </w:r>
      <w:r w:rsidRPr="009134EF">
        <w:rPr>
          <w:rFonts w:ascii="Times New Roman" w:hAnsi="Times New Roman"/>
          <w:spacing w:val="2"/>
          <w:sz w:val="24"/>
          <w:szCs w:val="24"/>
          <w:shd w:val="clear" w:color="auto" w:fill="FFFFFF"/>
          <w:lang w:val="en-US"/>
        </w:rPr>
        <w:fldChar w:fldCharType="begin" w:fldLock="1"/>
      </w:r>
      <w:r w:rsidR="001312F9">
        <w:rPr>
          <w:rFonts w:ascii="Times New Roman" w:hAnsi="Times New Roman"/>
          <w:spacing w:val="2"/>
          <w:sz w:val="24"/>
          <w:szCs w:val="24"/>
          <w:shd w:val="clear" w:color="auto" w:fill="FFFFFF"/>
          <w:lang w:val="en-US"/>
        </w:rPr>
        <w:instrText>ADDIN CSL_CITATION {"citationItems":[{"id":"ITEM-1","itemData":{"DOI":"10.1016/j.cej.2010.08.084","ISSN":"2","author":[{"dropping-particle":"","family":"Aoki","given":"Nobuaki","non-dropping-particle":"","parse-names":false,"suffix":""},{"dropping-particle":"","family":"Umei","given":"Ryota","non-dropping-particle":"","parse-names":false,"suffix":""},{"dropping-particle":"","family":"Yoshida","given":"Atsufumi","non-dropping-particle":"","parse-names":false,"suffix":""},{"dropping-particle":"","family":"Mae","given":"Kazuhiro","non-dropping-particle":"","parse-names":false,"suffix":""}],"container-title":"Chemical Engineering Journal","id":"ITEM-1","issue":"2-3","issued":{"date-parts":[["2011"]]},"page":"643-650","title":"Design method for micromixers considering influence of channel confluence and bend on diffusion length","type":"article-journal","volume":"167"},"uris":["http://www.mendeley.com/documents/?uuid=22e423a6-026d-4057-aee6-5ce7a2c5c185"]}],"mendeley":{"formattedCitation":"&lt;sup&gt;18&lt;/sup&gt;","plainTextFormattedCitation":"18","previouslyFormattedCitation":"&lt;sup&gt;18&lt;/sup&gt;"},"properties":{"noteIndex":0},"schema":"https://github.com/citation-style-language/schema/raw/master/csl-citation.json"}</w:instrText>
      </w:r>
      <w:r w:rsidRPr="009134EF">
        <w:rPr>
          <w:rFonts w:ascii="Times New Roman" w:hAnsi="Times New Roman"/>
          <w:spacing w:val="2"/>
          <w:sz w:val="24"/>
          <w:szCs w:val="24"/>
          <w:shd w:val="clear" w:color="auto" w:fill="FFFFFF"/>
          <w:lang w:val="en-US"/>
        </w:rPr>
        <w:fldChar w:fldCharType="separate"/>
      </w:r>
      <w:r w:rsidR="005B153C" w:rsidRPr="005B153C">
        <w:rPr>
          <w:rFonts w:ascii="Times New Roman" w:hAnsi="Times New Roman"/>
          <w:noProof/>
          <w:spacing w:val="2"/>
          <w:sz w:val="24"/>
          <w:szCs w:val="24"/>
          <w:shd w:val="clear" w:color="auto" w:fill="FFFFFF"/>
          <w:vertAlign w:val="superscript"/>
          <w:lang w:val="en-US"/>
        </w:rPr>
        <w:t>18</w:t>
      </w:r>
      <w:r w:rsidRPr="009134EF">
        <w:rPr>
          <w:rFonts w:ascii="Times New Roman" w:hAnsi="Times New Roman"/>
          <w:spacing w:val="2"/>
          <w:sz w:val="24"/>
          <w:szCs w:val="24"/>
          <w:shd w:val="clear" w:color="auto" w:fill="FFFFFF"/>
          <w:lang w:val="en-US"/>
        </w:rPr>
        <w:fldChar w:fldCharType="end"/>
      </w:r>
      <w:r w:rsidRPr="009134EF">
        <w:rPr>
          <w:rFonts w:ascii="Times New Roman" w:hAnsi="Times New Roman"/>
          <w:spacing w:val="2"/>
          <w:sz w:val="24"/>
          <w:szCs w:val="24"/>
          <w:shd w:val="clear" w:color="auto" w:fill="FFFFFF"/>
          <w:lang w:val="en-US"/>
        </w:rPr>
        <w:t xml:space="preserve"> also plays great role in mixing at confluence points because, with greater deviation at confluence, enhanced mixing is achievable. The angular deviation in flow direction for T-shaped confluence is just 90</w:t>
      </w:r>
      <w:r w:rsidRPr="009134EF">
        <w:rPr>
          <w:rFonts w:ascii="Times New Roman" w:hAnsi="Times New Roman"/>
          <w:spacing w:val="2"/>
          <w:sz w:val="24"/>
          <w:szCs w:val="24"/>
          <w:shd w:val="clear" w:color="auto" w:fill="FFFFFF"/>
          <w:vertAlign w:val="superscript"/>
          <w:lang w:val="en-US"/>
        </w:rPr>
        <w:t>o</w:t>
      </w:r>
      <w:r w:rsidRPr="009134EF">
        <w:rPr>
          <w:rFonts w:ascii="Times New Roman" w:hAnsi="Times New Roman"/>
          <w:spacing w:val="2"/>
          <w:sz w:val="24"/>
          <w:szCs w:val="24"/>
          <w:shd w:val="clear" w:color="auto" w:fill="FFFFFF"/>
          <w:lang w:val="en-US"/>
        </w:rPr>
        <w:t xml:space="preserve"> while Y-shape offers the least deviation. The arrow-shaped confluence caused greatest agitation during collision of streams due to its maximum angular deviation (&gt; 90</w:t>
      </w:r>
      <w:r w:rsidRPr="009134EF">
        <w:rPr>
          <w:rFonts w:ascii="Times New Roman" w:hAnsi="Times New Roman"/>
          <w:spacing w:val="2"/>
          <w:sz w:val="24"/>
          <w:szCs w:val="24"/>
          <w:shd w:val="clear" w:color="auto" w:fill="FFFFFF"/>
          <w:vertAlign w:val="superscript"/>
          <w:lang w:val="en-US"/>
        </w:rPr>
        <w:t>o</w:t>
      </w:r>
      <w:r w:rsidRPr="009134EF">
        <w:rPr>
          <w:rFonts w:ascii="Times New Roman" w:hAnsi="Times New Roman"/>
          <w:spacing w:val="2"/>
          <w:sz w:val="24"/>
          <w:szCs w:val="24"/>
          <w:shd w:val="clear" w:color="auto" w:fill="FFFFFF"/>
          <w:lang w:val="en-US"/>
        </w:rPr>
        <w:t>), coupled with its slight collision impact. T was better than Y because it offers the greatest collision impact and better deviation than Y-mixer. In all cases, mixing is enhanced with increasing Re value in the range &gt; 30.</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6"/>
        <w:gridCol w:w="4505"/>
      </w:tblGrid>
      <w:tr w:rsidR="00152686" w:rsidTr="00152686">
        <w:tc>
          <w:tcPr>
            <w:tcW w:w="4530" w:type="dxa"/>
          </w:tcPr>
          <w:p w:rsidR="00152686" w:rsidRDefault="00152686" w:rsidP="00D50A08">
            <w:pPr>
              <w:spacing w:after="0" w:line="360" w:lineRule="auto"/>
              <w:rPr>
                <w:rFonts w:ascii="Times New Roman" w:hAnsi="Times New Roman"/>
                <w:spacing w:val="2"/>
                <w:sz w:val="24"/>
                <w:szCs w:val="24"/>
                <w:shd w:val="clear" w:color="auto" w:fill="FFFFFF"/>
                <w:lang w:val="en-US"/>
              </w:rPr>
            </w:pPr>
            <w:r w:rsidRPr="009134EF">
              <w:rPr>
                <w:rFonts w:ascii="Times New Roman" w:hAnsi="Times New Roman"/>
                <w:b/>
                <w:noProof/>
                <w:spacing w:val="2"/>
                <w:sz w:val="24"/>
                <w:szCs w:val="24"/>
                <w:shd w:val="clear" w:color="auto" w:fill="FFFFFF"/>
                <w:lang w:val="en-US"/>
              </w:rPr>
              <w:drawing>
                <wp:inline distT="0" distB="0" distL="0" distR="0" wp14:anchorId="629DFC46" wp14:editId="61E3E703">
                  <wp:extent cx="2753360" cy="2144110"/>
                  <wp:effectExtent l="0" t="0" r="8890" b="8890"/>
                  <wp:docPr id="9"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c>
          <w:tcPr>
            <w:tcW w:w="4531" w:type="dxa"/>
          </w:tcPr>
          <w:p w:rsidR="00152686" w:rsidRDefault="00152686" w:rsidP="00D50A08">
            <w:pPr>
              <w:spacing w:after="0" w:line="360" w:lineRule="auto"/>
              <w:rPr>
                <w:rFonts w:ascii="Times New Roman" w:hAnsi="Times New Roman"/>
                <w:spacing w:val="2"/>
                <w:sz w:val="24"/>
                <w:szCs w:val="24"/>
                <w:shd w:val="clear" w:color="auto" w:fill="FFFFFF"/>
                <w:lang w:val="en-US"/>
              </w:rPr>
            </w:pPr>
            <w:r w:rsidRPr="009134EF">
              <w:rPr>
                <w:rFonts w:ascii="Times New Roman" w:hAnsi="Times New Roman"/>
                <w:b/>
                <w:noProof/>
                <w:spacing w:val="2"/>
                <w:sz w:val="24"/>
                <w:szCs w:val="24"/>
                <w:shd w:val="clear" w:color="auto" w:fill="FFFFFF"/>
                <w:lang w:val="en-US"/>
              </w:rPr>
              <w:drawing>
                <wp:inline distT="0" distB="0" distL="0" distR="0" wp14:anchorId="786DFD62" wp14:editId="2E9E9AD4">
                  <wp:extent cx="2711450" cy="2143760"/>
                  <wp:effectExtent l="0" t="0" r="0" b="8890"/>
                  <wp:docPr id="12"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r>
      <w:tr w:rsidR="00152686" w:rsidRPr="00152686" w:rsidTr="00152686">
        <w:tc>
          <w:tcPr>
            <w:tcW w:w="4530" w:type="dxa"/>
          </w:tcPr>
          <w:p w:rsidR="00152686" w:rsidRPr="00152686" w:rsidRDefault="00152686" w:rsidP="00152686">
            <w:pPr>
              <w:spacing w:line="360" w:lineRule="auto"/>
              <w:rPr>
                <w:rFonts w:ascii="Times New Roman" w:hAnsi="Times New Roman"/>
                <w:spacing w:val="2"/>
                <w:sz w:val="24"/>
                <w:szCs w:val="24"/>
                <w:shd w:val="clear" w:color="auto" w:fill="FFFFFF"/>
                <w:lang w:val="en-US"/>
              </w:rPr>
            </w:pPr>
            <w:r w:rsidRPr="00152686">
              <w:rPr>
                <w:rFonts w:ascii="Times New Roman" w:hAnsi="Times New Roman"/>
                <w:bCs/>
                <w:spacing w:val="2"/>
                <w:sz w:val="24"/>
                <w:szCs w:val="24"/>
                <w:shd w:val="clear" w:color="auto" w:fill="FFFFFF"/>
                <w:lang w:val="en-US"/>
              </w:rPr>
              <w:t>Fig. 5. Effect of Re on pressure drop</w:t>
            </w:r>
          </w:p>
        </w:tc>
        <w:tc>
          <w:tcPr>
            <w:tcW w:w="4531" w:type="dxa"/>
          </w:tcPr>
          <w:p w:rsidR="00152686" w:rsidRPr="00152686" w:rsidRDefault="00152686" w:rsidP="00152686">
            <w:pPr>
              <w:spacing w:line="360" w:lineRule="auto"/>
              <w:rPr>
                <w:rFonts w:ascii="Times New Roman" w:hAnsi="Times New Roman"/>
                <w:spacing w:val="2"/>
                <w:sz w:val="24"/>
                <w:szCs w:val="24"/>
                <w:shd w:val="clear" w:color="auto" w:fill="FFFFFF"/>
                <w:lang w:val="en-US"/>
              </w:rPr>
            </w:pPr>
            <w:r w:rsidRPr="00152686">
              <w:rPr>
                <w:rFonts w:ascii="Times New Roman" w:hAnsi="Times New Roman"/>
                <w:bCs/>
                <w:spacing w:val="2"/>
                <w:sz w:val="24"/>
                <w:szCs w:val="24"/>
                <w:shd w:val="clear" w:color="auto" w:fill="FFFFFF"/>
                <w:lang w:val="en-US"/>
              </w:rPr>
              <w:t>Fig. 6. Effect of Re on energy dissipation rate</w:t>
            </w:r>
          </w:p>
        </w:tc>
      </w:tr>
    </w:tbl>
    <w:p w:rsidR="009134EF" w:rsidRPr="009134EF" w:rsidRDefault="009134EF" w:rsidP="00152686">
      <w:pPr>
        <w:spacing w:after="0" w:line="360" w:lineRule="auto"/>
        <w:rPr>
          <w:rFonts w:ascii="Times New Roman" w:hAnsi="Times New Roman"/>
          <w:i/>
          <w:spacing w:val="2"/>
          <w:sz w:val="24"/>
          <w:szCs w:val="24"/>
          <w:shd w:val="clear" w:color="auto" w:fill="FFFFFF"/>
          <w:lang w:val="en-US"/>
        </w:rPr>
      </w:pPr>
      <w:r w:rsidRPr="009134EF">
        <w:rPr>
          <w:rFonts w:ascii="Times New Roman" w:hAnsi="Times New Roman"/>
          <w:i/>
          <w:spacing w:val="2"/>
          <w:sz w:val="24"/>
          <w:szCs w:val="24"/>
          <w:shd w:val="clear" w:color="auto" w:fill="FFFFFF"/>
          <w:lang w:val="en-US"/>
        </w:rPr>
        <w:t>Variation of pressure drop and specific energy dissipation rate with Re</w:t>
      </w:r>
      <w:r w:rsidR="00152686">
        <w:rPr>
          <w:rFonts w:ascii="Times New Roman" w:hAnsi="Times New Roman"/>
          <w:i/>
          <w:spacing w:val="2"/>
          <w:sz w:val="24"/>
          <w:szCs w:val="24"/>
          <w:shd w:val="clear" w:color="auto" w:fill="FFFFFF"/>
          <w:lang w:val="en-US"/>
        </w:rPr>
        <w:t>.</w:t>
      </w:r>
    </w:p>
    <w:p w:rsidR="009134EF" w:rsidRPr="009134EF" w:rsidRDefault="009134EF" w:rsidP="00152686">
      <w:pPr>
        <w:spacing w:after="0" w:line="360" w:lineRule="auto"/>
        <w:rPr>
          <w:rFonts w:ascii="Times New Roman" w:hAnsi="Times New Roman"/>
          <w:spacing w:val="2"/>
          <w:sz w:val="24"/>
          <w:szCs w:val="24"/>
          <w:shd w:val="clear" w:color="auto" w:fill="FFFFFF"/>
          <w:lang w:val="en-US"/>
        </w:rPr>
      </w:pPr>
      <w:r w:rsidRPr="009134EF">
        <w:rPr>
          <w:rFonts w:ascii="Times New Roman" w:hAnsi="Times New Roman"/>
          <w:spacing w:val="2"/>
          <w:sz w:val="24"/>
          <w:szCs w:val="24"/>
          <w:shd w:val="clear" w:color="auto" w:fill="FFFFFF"/>
          <w:lang w:val="en-US"/>
        </w:rPr>
        <w:t>The modification in concentration stated in section 3.1 did not affect the pressure drop and therefore, Fig. 4 to 6 are not split into two. The effect of inlet Re on pressure drop (∆P) as a result of flow through each micromixer is shown in Fig. 5. From the figure, ∆P increased somewhat linearly as Re increased. The variation in ∆P among the three micromixers becomes wider (diverges) as one moves from low Re to higher Re. Similar trend is reported by Hossain et al</w:t>
      </w:r>
      <w:r w:rsidR="00CB1668">
        <w:rPr>
          <w:rFonts w:ascii="Times New Roman" w:hAnsi="Times New Roman"/>
          <w:spacing w:val="2"/>
          <w:sz w:val="24"/>
          <w:szCs w:val="24"/>
          <w:shd w:val="clear" w:color="auto" w:fill="FFFFFF"/>
          <w:lang w:val="en-US"/>
        </w:rPr>
        <w:t>,</w:t>
      </w:r>
      <w:r w:rsidRPr="009134EF">
        <w:rPr>
          <w:rFonts w:ascii="Times New Roman" w:hAnsi="Times New Roman"/>
          <w:spacing w:val="2"/>
          <w:sz w:val="24"/>
          <w:szCs w:val="24"/>
          <w:shd w:val="clear" w:color="auto" w:fill="FFFFFF"/>
          <w:lang w:val="en-US"/>
        </w:rPr>
        <w:fldChar w:fldCharType="begin" w:fldLock="1"/>
      </w:r>
      <w:r w:rsidR="001312F9">
        <w:rPr>
          <w:rFonts w:ascii="Times New Roman" w:hAnsi="Times New Roman"/>
          <w:spacing w:val="2"/>
          <w:sz w:val="24"/>
          <w:szCs w:val="24"/>
          <w:shd w:val="clear" w:color="auto" w:fill="FFFFFF"/>
          <w:lang w:val="en-US"/>
        </w:rPr>
        <w:instrText>ADDIN CSL_CITATION {"citationItems":[{"id":"ITEM-1","itemData":{"DOI":"10.1016/j.cej.2017.06.106","ISSN":"13858947","abstract":"A novel design is presented for a chaotic micromixer using two-layer serpentine crossing microchannels. The performance of the micromixer was analyzed both numerically and experimentally. The numerical analysis was performed using three-dimensional Navier-Stokes equations with a convection–diffusion model for the species concentration in a Reynolds number range of 0.2–120. An experimental model of the micromixer was fabricated by soft lithography with polydimethylsiloxane (PDMS). Two working fluids, water and dye-water mixture were used for numerical analysis except for the experimental validation of numerical results. Both the numerical and experimental analyses confirm that the micromixer achieves a high level of mixing over a wide range of Reynolds numbers through splitting, enlarging, recombination, and folding mechanisms. The micromixer showed over 95% mixing throughout the tested range of Reynolds number. Especially, about 99% mixing was achieved at Reynolds numbers less than ten. Thus, the proposed micromixer can be used in microfluidic systems which require fast mixing at low Reynolds numbers.","author":[{"dropping-particle":"","family":"Hossain","given":"Shakhawat","non-dropping-particle":"","parse-names":false,"suffix":""},{"dropping-particle":"","family":"Lee","given":"Insu","non-dropping-particle":"","parse-names":false,"suffix":""},{"dropping-particle":"","family":"Kim","given":"Sun Min","non-dropping-particle":"","parse-names":false,"suffix":""},{"dropping-particle":"","family":"Kim","given":"Kwang-Yong Yong","non-dropping-particle":"","parse-names":false,"suffix":""}],"container-title":"Chemical Engineering Journal","id":"ITEM-1","issued":{"date-parts":[["2017"]]},"page":"268-277","publisher":"Elsevier B.V.","title":"A micromixer with two-layer serpentine crossing channels having excellent mixing performance at low Reynolds numbers","type":"article-journal","volume":"327"},"uris":["http://www.mendeley.com/documents/?uuid=24d2df06-c3f6-42c2-881b-71686fcbb6ad"]}],"mendeley":{"formattedCitation":"&lt;sup&gt;8&lt;/sup&gt;","plainTextFormattedCitation":"8","previouslyFormattedCitation":"&lt;sup&gt;8&lt;/sup&gt;"},"properties":{"noteIndex":0},"schema":"https://github.com/citation-style-language/schema/raw/master/csl-citation.json"}</w:instrText>
      </w:r>
      <w:r w:rsidRPr="009134EF">
        <w:rPr>
          <w:rFonts w:ascii="Times New Roman" w:hAnsi="Times New Roman"/>
          <w:spacing w:val="2"/>
          <w:sz w:val="24"/>
          <w:szCs w:val="24"/>
          <w:shd w:val="clear" w:color="auto" w:fill="FFFFFF"/>
          <w:lang w:val="en-US"/>
        </w:rPr>
        <w:fldChar w:fldCharType="separate"/>
      </w:r>
      <w:r w:rsidR="005B153C" w:rsidRPr="005B153C">
        <w:rPr>
          <w:rFonts w:ascii="Times New Roman" w:hAnsi="Times New Roman"/>
          <w:noProof/>
          <w:spacing w:val="2"/>
          <w:sz w:val="24"/>
          <w:szCs w:val="24"/>
          <w:shd w:val="clear" w:color="auto" w:fill="FFFFFF"/>
          <w:vertAlign w:val="superscript"/>
          <w:lang w:val="en-US"/>
        </w:rPr>
        <w:t>8</w:t>
      </w:r>
      <w:r w:rsidRPr="009134EF">
        <w:rPr>
          <w:rFonts w:ascii="Times New Roman" w:hAnsi="Times New Roman"/>
          <w:spacing w:val="2"/>
          <w:sz w:val="24"/>
          <w:szCs w:val="24"/>
          <w:shd w:val="clear" w:color="auto" w:fill="FFFFFF"/>
          <w:lang w:val="en-US"/>
        </w:rPr>
        <w:fldChar w:fldCharType="end"/>
      </w:r>
      <w:r w:rsidRPr="009134EF">
        <w:rPr>
          <w:rFonts w:ascii="Times New Roman" w:hAnsi="Times New Roman"/>
          <w:spacing w:val="2"/>
          <w:sz w:val="24"/>
          <w:szCs w:val="24"/>
          <w:shd w:val="clear" w:color="auto" w:fill="FFFFFF"/>
          <w:lang w:val="en-US"/>
        </w:rPr>
        <w:t xml:space="preserve"> Jafari et al </w:t>
      </w:r>
      <w:r w:rsidRPr="009134EF">
        <w:rPr>
          <w:rFonts w:ascii="Times New Roman" w:hAnsi="Times New Roman"/>
          <w:spacing w:val="2"/>
          <w:sz w:val="24"/>
          <w:szCs w:val="24"/>
          <w:shd w:val="clear" w:color="auto" w:fill="FFFFFF"/>
          <w:lang w:val="en-US"/>
        </w:rPr>
        <w:fldChar w:fldCharType="begin" w:fldLock="1"/>
      </w:r>
      <w:r w:rsidR="001312F9">
        <w:rPr>
          <w:rFonts w:ascii="Times New Roman" w:hAnsi="Times New Roman"/>
          <w:spacing w:val="2"/>
          <w:sz w:val="24"/>
          <w:szCs w:val="24"/>
          <w:shd w:val="clear" w:color="auto" w:fill="FFFFFF"/>
          <w:lang w:val="en-US"/>
        </w:rPr>
        <w:instrText>ADDIN CSL_CITATION {"citationItems":[{"id":"ITEM-1","itemData":{"DOI":"10.1016/j.cep.2015.12.013","author":[{"dropping-particle":"","family":"Jafari","given":"Omid","non-dropping-particle":"","parse-names":false,"suffix":""},{"dropping-particle":"","family":"Rahimi","given":"Masoud","non-dropping-particle":"","parse-names":false,"suffix":""},{"dropping-particle":"","family":"Kakavandi","given":"Fardin Hosseini","non-dropping-particle":"","parse-names":false,"suffix":""}],"container-title":"Chemical Engineering and Processing: Process Intensification","id":"ITEM-1","issued":{"date-parts":[["2016"]]},"page":"33-40","title":"Liquid–liquid extraction in twisted micromixers","type":"article-journal","volume":"101"},"uris":["http://www.mendeley.com/documents/?uuid=6ca3a44d-4dce-4401-917c-ca52edc322ce"]}],"mendeley":{"formattedCitation":"&lt;sup&gt;19&lt;/sup&gt;","plainTextFormattedCitation":"19","previouslyFormattedCitation":"&lt;sup&gt;19&lt;/sup&gt;"},"properties":{"noteIndex":0},"schema":"https://github.com/citation-style-language/schema/raw/master/csl-citation.json"}</w:instrText>
      </w:r>
      <w:r w:rsidRPr="009134EF">
        <w:rPr>
          <w:rFonts w:ascii="Times New Roman" w:hAnsi="Times New Roman"/>
          <w:spacing w:val="2"/>
          <w:sz w:val="24"/>
          <w:szCs w:val="24"/>
          <w:shd w:val="clear" w:color="auto" w:fill="FFFFFF"/>
          <w:lang w:val="en-US"/>
        </w:rPr>
        <w:fldChar w:fldCharType="separate"/>
      </w:r>
      <w:r w:rsidR="005B153C" w:rsidRPr="005B153C">
        <w:rPr>
          <w:rFonts w:ascii="Times New Roman" w:hAnsi="Times New Roman"/>
          <w:noProof/>
          <w:spacing w:val="2"/>
          <w:sz w:val="24"/>
          <w:szCs w:val="24"/>
          <w:shd w:val="clear" w:color="auto" w:fill="FFFFFF"/>
          <w:vertAlign w:val="superscript"/>
          <w:lang w:val="en-US"/>
        </w:rPr>
        <w:t>19</w:t>
      </w:r>
      <w:r w:rsidRPr="009134EF">
        <w:rPr>
          <w:rFonts w:ascii="Times New Roman" w:hAnsi="Times New Roman"/>
          <w:spacing w:val="2"/>
          <w:sz w:val="24"/>
          <w:szCs w:val="24"/>
          <w:shd w:val="clear" w:color="auto" w:fill="FFFFFF"/>
          <w:lang w:val="en-US"/>
        </w:rPr>
        <w:fldChar w:fldCharType="end"/>
      </w:r>
      <w:r w:rsidRPr="009134EF">
        <w:rPr>
          <w:rFonts w:ascii="Times New Roman" w:hAnsi="Times New Roman"/>
          <w:spacing w:val="2"/>
          <w:sz w:val="24"/>
          <w:szCs w:val="24"/>
          <w:shd w:val="clear" w:color="auto" w:fill="FFFFFF"/>
          <w:lang w:val="en-US"/>
        </w:rPr>
        <w:t xml:space="preserve"> and Kockmann et al</w:t>
      </w:r>
      <w:r w:rsidR="00CB1668">
        <w:rPr>
          <w:rFonts w:ascii="Times New Roman" w:hAnsi="Times New Roman"/>
          <w:spacing w:val="2"/>
          <w:sz w:val="24"/>
          <w:szCs w:val="24"/>
          <w:shd w:val="clear" w:color="auto" w:fill="FFFFFF"/>
          <w:lang w:val="en-US"/>
        </w:rPr>
        <w:t>.</w:t>
      </w:r>
      <w:r w:rsidRPr="009134EF">
        <w:rPr>
          <w:rFonts w:ascii="Times New Roman" w:hAnsi="Times New Roman"/>
          <w:spacing w:val="2"/>
          <w:sz w:val="24"/>
          <w:szCs w:val="24"/>
          <w:shd w:val="clear" w:color="auto" w:fill="FFFFFF"/>
          <w:lang w:val="en-US"/>
        </w:rPr>
        <w:fldChar w:fldCharType="begin" w:fldLock="1"/>
      </w:r>
      <w:r w:rsidR="001312F9">
        <w:rPr>
          <w:rFonts w:ascii="Times New Roman" w:hAnsi="Times New Roman"/>
          <w:spacing w:val="2"/>
          <w:sz w:val="24"/>
          <w:szCs w:val="24"/>
          <w:shd w:val="clear" w:color="auto" w:fill="FFFFFF"/>
          <w:lang w:val="en-US"/>
        </w:rPr>
        <w:instrText>ADDIN CSL_CITATION {"citationItems":[{"id":"ITEM-1","itemData":{"DOI":"10.1016/j.snb.2006.01.004","ISSN":"09254005","abstract":"This work presents a theoretical and experimental investigation of convective micromixing in various mixer structures and combinations with the aim of high mixing intensity and a high throughput. Different mixing elements are integrated on a silicon chip to achieve a device for high flow rates above 20 kg/h. Test structures are fabricated and characterized according to their flow behavior and mixing performance. Flow measurements with pH neutralization and indication by bromothymol blue confirm the numerical simulations of the flow characteristics and concentration fields. The integral mixing quality in the micromixer is measured with the iodide-iodate reaction (Villermaux-Dushman) and shows excellent values for high Re numbers. This offers the potential to use microstructures for new applications in the production of chemicals. With the help of the obtained experimental and theoretical results, a new class of dimensionless numbers is proposed which characterizes the effectiveness of a mixing device and of the mixing process and compares different mixing times. © 2006 Elsevier B.V. All rights reserved.","author":[{"dropping-particle":"","family":"Kockmann","given":"Norbert","non-dropping-particle":"","parse-names":false,"suffix":""},{"dropping-particle":"","family":"Kiefer","given":"Thomas","non-dropping-particle":"","parse-names":false,"suffix":""},{"dropping-particle":"","family":"Engler","given":"Michael","non-dropping-particle":"","parse-names":false,"suffix":""},{"dropping-particle":"","family":"Woias","given":"Peter","non-dropping-particle":"","parse-names":false,"suffix":""}],"container-title":"Sensors and Actuators, B: Chemical","id":"ITEM-1","issue":"2","issued":{"date-parts":[["2006"]]},"page":"495-508","title":"Convective mixing and chemical reactions in microchannels with high flow rates","type":"article-journal","volume":"117"},"uris":["http://www.mendeley.com/documents/?uuid=3162bd42-11f4-4559-b936-21f597c55bb8"]}],"mendeley":{"formattedCitation":"&lt;sup&gt;15&lt;/sup&gt;","plainTextFormattedCitation":"15","previouslyFormattedCitation":"&lt;sup&gt;15&lt;/sup&gt;"},"properties":{"noteIndex":0},"schema":"https://github.com/citation-style-language/schema/raw/master/csl-citation.json"}</w:instrText>
      </w:r>
      <w:r w:rsidRPr="009134EF">
        <w:rPr>
          <w:rFonts w:ascii="Times New Roman" w:hAnsi="Times New Roman"/>
          <w:spacing w:val="2"/>
          <w:sz w:val="24"/>
          <w:szCs w:val="24"/>
          <w:shd w:val="clear" w:color="auto" w:fill="FFFFFF"/>
          <w:lang w:val="en-US"/>
        </w:rPr>
        <w:fldChar w:fldCharType="separate"/>
      </w:r>
      <w:r w:rsidR="005B153C" w:rsidRPr="005B153C">
        <w:rPr>
          <w:rFonts w:ascii="Times New Roman" w:hAnsi="Times New Roman"/>
          <w:noProof/>
          <w:spacing w:val="2"/>
          <w:sz w:val="24"/>
          <w:szCs w:val="24"/>
          <w:shd w:val="clear" w:color="auto" w:fill="FFFFFF"/>
          <w:vertAlign w:val="superscript"/>
          <w:lang w:val="en-US"/>
        </w:rPr>
        <w:t>15</w:t>
      </w:r>
      <w:r w:rsidRPr="009134EF">
        <w:rPr>
          <w:rFonts w:ascii="Times New Roman" w:hAnsi="Times New Roman"/>
          <w:spacing w:val="2"/>
          <w:sz w:val="24"/>
          <w:szCs w:val="24"/>
          <w:shd w:val="clear" w:color="auto" w:fill="FFFFFF"/>
          <w:lang w:val="en-US"/>
        </w:rPr>
        <w:fldChar w:fldCharType="end"/>
      </w:r>
      <w:r w:rsidRPr="009134EF">
        <w:rPr>
          <w:rFonts w:ascii="Times New Roman" w:hAnsi="Times New Roman"/>
          <w:spacing w:val="2"/>
          <w:sz w:val="24"/>
          <w:szCs w:val="24"/>
          <w:shd w:val="clear" w:color="auto" w:fill="FFFFFF"/>
          <w:lang w:val="en-US"/>
        </w:rPr>
        <w:t xml:space="preserve"> To understand this divergence, we consider the possible expressions for ∆P or pressure head as a function of Re or velocity; hence, Hagen-Poiseuille equation and Darcy’s equation. But, flows in micromixers are not ideally laminar to be described as Hagen-Poiseuille flow. Based on Darcy’s relationship, ∆P </w:t>
      </w:r>
      <w:r w:rsidRPr="009134EF">
        <w:rPr>
          <w:rFonts w:ascii="Times New Roman" w:hAnsi="Times New Roman"/>
          <w:spacing w:val="2"/>
          <w:sz w:val="24"/>
          <w:szCs w:val="24"/>
          <w:shd w:val="clear" w:color="auto" w:fill="FFFFFF"/>
          <w:lang w:val="en-US"/>
        </w:rPr>
        <w:lastRenderedPageBreak/>
        <w:t xml:space="preserve">is proportional to </w:t>
      </w:r>
      <w:r w:rsidRPr="009134EF">
        <w:rPr>
          <w:rFonts w:ascii="Times New Roman" w:hAnsi="Times New Roman"/>
          <w:i/>
          <w:spacing w:val="2"/>
          <w:sz w:val="24"/>
          <w:szCs w:val="24"/>
          <w:shd w:val="clear" w:color="auto" w:fill="FFFFFF"/>
          <w:lang w:val="en-US"/>
        </w:rPr>
        <w:t>f</w:t>
      </w:r>
      <w:r w:rsidRPr="009134EF">
        <w:rPr>
          <w:rFonts w:ascii="Times New Roman" w:hAnsi="Times New Roman"/>
          <w:spacing w:val="2"/>
          <w:sz w:val="24"/>
          <w:szCs w:val="24"/>
          <w:shd w:val="clear" w:color="auto" w:fill="FFFFFF"/>
          <w:lang w:val="en-US"/>
        </w:rPr>
        <w:t>u</w:t>
      </w:r>
      <w:r w:rsidRPr="009134EF">
        <w:rPr>
          <w:rFonts w:ascii="Times New Roman" w:hAnsi="Times New Roman"/>
          <w:spacing w:val="2"/>
          <w:sz w:val="24"/>
          <w:szCs w:val="24"/>
          <w:shd w:val="clear" w:color="auto" w:fill="FFFFFF"/>
          <w:vertAlign w:val="superscript"/>
          <w:lang w:val="en-US"/>
        </w:rPr>
        <w:t>2</w:t>
      </w:r>
      <w:r w:rsidRPr="009134EF">
        <w:rPr>
          <w:rFonts w:ascii="Times New Roman" w:hAnsi="Times New Roman"/>
          <w:spacing w:val="2"/>
          <w:sz w:val="24"/>
          <w:szCs w:val="24"/>
          <w:shd w:val="clear" w:color="auto" w:fill="FFFFFF"/>
          <w:lang w:val="en-US"/>
        </w:rPr>
        <w:t xml:space="preserve">; where </w:t>
      </w:r>
      <w:r w:rsidRPr="009134EF">
        <w:rPr>
          <w:rFonts w:ascii="Times New Roman" w:hAnsi="Times New Roman"/>
          <w:i/>
          <w:spacing w:val="2"/>
          <w:sz w:val="24"/>
          <w:szCs w:val="24"/>
          <w:shd w:val="clear" w:color="auto" w:fill="FFFFFF"/>
          <w:lang w:val="en-US"/>
        </w:rPr>
        <w:t>f</w:t>
      </w:r>
      <w:r w:rsidRPr="009134EF">
        <w:rPr>
          <w:rFonts w:ascii="Times New Roman" w:hAnsi="Times New Roman"/>
          <w:spacing w:val="2"/>
          <w:sz w:val="24"/>
          <w:szCs w:val="24"/>
          <w:shd w:val="clear" w:color="auto" w:fill="FFFFFF"/>
          <w:lang w:val="en-US"/>
        </w:rPr>
        <w:t xml:space="preserve"> is a dimensionless parameter (a function of flow velocity and other factors) commonly known as friction factor and u is the average velocity of flow</w:t>
      </w:r>
      <w:r w:rsidR="00CB1668">
        <w:rPr>
          <w:rFonts w:ascii="Times New Roman" w:hAnsi="Times New Roman"/>
          <w:spacing w:val="2"/>
          <w:sz w:val="24"/>
          <w:szCs w:val="24"/>
          <w:shd w:val="clear" w:color="auto" w:fill="FFFFFF"/>
          <w:lang w:val="en-US"/>
        </w:rPr>
        <w:t>.</w:t>
      </w:r>
      <w:r w:rsidRPr="009134EF">
        <w:rPr>
          <w:rFonts w:ascii="Times New Roman" w:hAnsi="Times New Roman"/>
          <w:spacing w:val="2"/>
          <w:sz w:val="24"/>
          <w:szCs w:val="24"/>
          <w:shd w:val="clear" w:color="auto" w:fill="FFFFFF"/>
          <w:lang w:val="en-US"/>
        </w:rPr>
        <w:fldChar w:fldCharType="begin" w:fldLock="1"/>
      </w:r>
      <w:r w:rsidR="001312F9">
        <w:rPr>
          <w:rFonts w:ascii="Times New Roman" w:hAnsi="Times New Roman"/>
          <w:spacing w:val="2"/>
          <w:sz w:val="24"/>
          <w:szCs w:val="24"/>
          <w:shd w:val="clear" w:color="auto" w:fill="FFFFFF"/>
          <w:lang w:val="en-US"/>
        </w:rPr>
        <w:instrText>ADDIN CSL_CITATION {"citationItems":[{"id":"ITEM-1","itemData":{"author":[{"dropping-particle":"","family":"Welty","given":"J.R.","non-dropping-particle":"","parse-names":false,"suffix":""},{"dropping-particle":"","family":"Wicks","given":"C.E.","non-dropping-particle":"","parse-names":false,"suffix":""},{"dropping-particle":"","family":"Wilson","given":"R.E.","non-dropping-particle":"","parse-names":false,"suffix":""},{"dropping-particle":"","family":"Rorrer","given":"G.L.","non-dropping-particle":"","parse-names":false,"suffix":""}],"edition":"5","id":"ITEM-1","issued":{"date-parts":[["2007"]]},"publisher":"John Wiley &amp; Sons Inc.","title":"Fundamentals of Momentum, Heat and Mass Transfer","type":"book"},"uris":["http://www.mendeley.com/documents/?uuid=f4de28ab-5a05-449c-b437-a4c788a4a5c3"]}],"mendeley":{"formattedCitation":"&lt;sup&gt;20&lt;/sup&gt;","plainTextFormattedCitation":"20","previouslyFormattedCitation":"&lt;sup&gt;20&lt;/sup&gt;"},"properties":{"noteIndex":0},"schema":"https://github.com/citation-style-language/schema/raw/master/csl-citation.json"}</w:instrText>
      </w:r>
      <w:r w:rsidRPr="009134EF">
        <w:rPr>
          <w:rFonts w:ascii="Times New Roman" w:hAnsi="Times New Roman"/>
          <w:spacing w:val="2"/>
          <w:sz w:val="24"/>
          <w:szCs w:val="24"/>
          <w:shd w:val="clear" w:color="auto" w:fill="FFFFFF"/>
          <w:lang w:val="en-US"/>
        </w:rPr>
        <w:fldChar w:fldCharType="separate"/>
      </w:r>
      <w:r w:rsidR="005B153C" w:rsidRPr="005B153C">
        <w:rPr>
          <w:rFonts w:ascii="Times New Roman" w:hAnsi="Times New Roman"/>
          <w:noProof/>
          <w:spacing w:val="2"/>
          <w:sz w:val="24"/>
          <w:szCs w:val="24"/>
          <w:shd w:val="clear" w:color="auto" w:fill="FFFFFF"/>
          <w:vertAlign w:val="superscript"/>
          <w:lang w:val="en-US"/>
        </w:rPr>
        <w:t>20</w:t>
      </w:r>
      <w:r w:rsidRPr="009134EF">
        <w:rPr>
          <w:rFonts w:ascii="Times New Roman" w:hAnsi="Times New Roman"/>
          <w:spacing w:val="2"/>
          <w:sz w:val="24"/>
          <w:szCs w:val="24"/>
          <w:shd w:val="clear" w:color="auto" w:fill="FFFFFF"/>
          <w:lang w:val="en-US"/>
        </w:rPr>
        <w:fldChar w:fldCharType="end"/>
      </w:r>
      <w:r w:rsidRPr="009134EF">
        <w:rPr>
          <w:rFonts w:ascii="Times New Roman" w:hAnsi="Times New Roman"/>
          <w:spacing w:val="2"/>
          <w:sz w:val="24"/>
          <w:szCs w:val="24"/>
          <w:shd w:val="clear" w:color="auto" w:fill="FFFFFF"/>
          <w:lang w:val="en-US"/>
        </w:rPr>
        <w:t xml:space="preserve"> </w:t>
      </w:r>
    </w:p>
    <w:p w:rsidR="009134EF" w:rsidRDefault="009134EF" w:rsidP="00152686">
      <w:pPr>
        <w:spacing w:after="0" w:line="360" w:lineRule="auto"/>
        <w:rPr>
          <w:rFonts w:ascii="Times New Roman" w:hAnsi="Times New Roman"/>
          <w:spacing w:val="2"/>
          <w:sz w:val="24"/>
          <w:szCs w:val="24"/>
          <w:shd w:val="clear" w:color="auto" w:fill="FFFFFF"/>
          <w:lang w:val="en-US"/>
        </w:rPr>
      </w:pPr>
      <w:r w:rsidRPr="009134EF">
        <w:rPr>
          <w:rFonts w:ascii="Times New Roman" w:hAnsi="Times New Roman"/>
          <w:spacing w:val="2"/>
          <w:sz w:val="24"/>
          <w:szCs w:val="24"/>
          <w:shd w:val="clear" w:color="auto" w:fill="FFFFFF"/>
          <w:lang w:val="en-US"/>
        </w:rPr>
        <w:t>When fluid streams (from two identical branches of micromixer) collide/meet, mixing takes place at the expense of energy which is felt as drop in pressure. The effect of Re on energy dissipation rate (Ɛ) is shown in Fig. 6. From the figure, variation of Ɛ with respect to Re is very similar to the observed trend for ∆P but is more of a curve than straight line as a result of extra velocity factor as related in Eq. 6. It is clear that higher energy is spent at higher Re and consequently, improvement in mixing performance. This is in agreement with literature</w:t>
      </w:r>
      <w:r w:rsidR="00CB1668">
        <w:rPr>
          <w:rFonts w:ascii="Times New Roman" w:hAnsi="Times New Roman"/>
          <w:spacing w:val="2"/>
          <w:sz w:val="24"/>
          <w:szCs w:val="24"/>
          <w:shd w:val="clear" w:color="auto" w:fill="FFFFFF"/>
          <w:lang w:val="en-US"/>
        </w:rPr>
        <w:t>.</w:t>
      </w:r>
      <w:r w:rsidRPr="009134EF">
        <w:rPr>
          <w:rFonts w:ascii="Times New Roman" w:hAnsi="Times New Roman"/>
          <w:spacing w:val="2"/>
          <w:sz w:val="24"/>
          <w:szCs w:val="24"/>
          <w:shd w:val="clear" w:color="auto" w:fill="FFFFFF"/>
          <w:lang w:val="en-US"/>
        </w:rPr>
        <w:fldChar w:fldCharType="begin" w:fldLock="1"/>
      </w:r>
      <w:r w:rsidR="001312F9">
        <w:rPr>
          <w:rFonts w:ascii="Times New Roman" w:hAnsi="Times New Roman"/>
          <w:spacing w:val="2"/>
          <w:sz w:val="24"/>
          <w:szCs w:val="24"/>
          <w:shd w:val="clear" w:color="auto" w:fill="FFFFFF"/>
          <w:lang w:val="en-US"/>
        </w:rPr>
        <w:instrText>ADDIN CSL_CITATION {"citationItems":[{"id":"ITEM-1","itemData":{"DOI":"10.1016/j.ces.2009.05.045","ISSN":"1","author":[{"dropping-particle":"","family":"Falk","given":"L","non-dropping-particle":"","parse-names":false,"suffix":""},{"dropping-particle":"","family":"Commenge","given":"J M","non-dropping-particle":"","parse-names":false,"suffix":""}],"container-title":"Chemical Engineering Science","id":"ITEM-1","issue":"1","issued":{"date-parts":[["2010"]]},"page":"405-411","title":"Performance comparison of micromixers","type":"article-journal","volume":"65"},"uris":["http://www.mendeley.com/documents/?uuid=fe043e11-1920-4b33-bbf6-b7ed148a326f"]},{"id":"ITEM-2","itemData":{"DOI":"10.1016/j.cep.2015.12.013","author":[{"dropping-particle":"","family":"Jafari","given":"Omid","non-dropping-particle":"","parse-names":false,"suffix":""},{"dropping-particle":"","family":"Rahimi","given":"Masoud","non-dropping-particle":"","parse-names":false,"suffix":""},{"dropping-particle":"","family":"Kakavandi","given":"Fardin Hosseini","non-dropping-particle":"","parse-names":false,"suffix":""}],"container-title":"Chemical Engineering and Processing: Process Intensification","id":"ITEM-2","issued":{"date-parts":[["2016"]]},"page":"33-40","title":"Liquid–liquid extraction in twisted micromixers","type":"article-journal","volume":"101"},"uris":["http://www.mendeley.com/documents/?uuid=6ca3a44d-4dce-4401-917c-ca52edc322ce"]}],"mendeley":{"formattedCitation":"&lt;sup&gt;6,19&lt;/sup&gt;","plainTextFormattedCitation":"6,19","previouslyFormattedCitation":"&lt;sup&gt;6,19&lt;/sup&gt;"},"properties":{"noteIndex":0},"schema":"https://github.com/citation-style-language/schema/raw/master/csl-citation.json"}</w:instrText>
      </w:r>
      <w:r w:rsidRPr="009134EF">
        <w:rPr>
          <w:rFonts w:ascii="Times New Roman" w:hAnsi="Times New Roman"/>
          <w:spacing w:val="2"/>
          <w:sz w:val="24"/>
          <w:szCs w:val="24"/>
          <w:shd w:val="clear" w:color="auto" w:fill="FFFFFF"/>
          <w:lang w:val="en-US"/>
        </w:rPr>
        <w:fldChar w:fldCharType="separate"/>
      </w:r>
      <w:r w:rsidR="005B153C" w:rsidRPr="005B153C">
        <w:rPr>
          <w:rFonts w:ascii="Times New Roman" w:hAnsi="Times New Roman"/>
          <w:noProof/>
          <w:spacing w:val="2"/>
          <w:sz w:val="24"/>
          <w:szCs w:val="24"/>
          <w:shd w:val="clear" w:color="auto" w:fill="FFFFFF"/>
          <w:vertAlign w:val="superscript"/>
          <w:lang w:val="en-US"/>
        </w:rPr>
        <w:t>6,19</w:t>
      </w:r>
      <w:r w:rsidRPr="009134EF">
        <w:rPr>
          <w:rFonts w:ascii="Times New Roman" w:hAnsi="Times New Roman"/>
          <w:spacing w:val="2"/>
          <w:sz w:val="24"/>
          <w:szCs w:val="24"/>
          <w:shd w:val="clear" w:color="auto" w:fill="FFFFFF"/>
          <w:lang w:val="en-US"/>
        </w:rPr>
        <w:fldChar w:fldCharType="end"/>
      </w:r>
      <w:r w:rsidRPr="009134EF">
        <w:rPr>
          <w:rFonts w:ascii="Times New Roman" w:hAnsi="Times New Roman"/>
          <w:spacing w:val="2"/>
          <w:sz w:val="24"/>
          <w:szCs w:val="24"/>
          <w:shd w:val="clear" w:color="auto" w:fill="FFFFFF"/>
          <w:lang w:val="en-US"/>
        </w:rPr>
        <w:t xml:space="preserve"> The order of energy dissipation rate is Ar &gt; T &gt; Y-mixers.</w:t>
      </w:r>
    </w:p>
    <w:p w:rsidR="00006A03" w:rsidRDefault="00006A03" w:rsidP="00152686">
      <w:pPr>
        <w:spacing w:after="0" w:line="360" w:lineRule="auto"/>
        <w:rPr>
          <w:rFonts w:ascii="Times New Roman" w:hAnsi="Times New Roman"/>
          <w:spacing w:val="2"/>
          <w:sz w:val="24"/>
          <w:szCs w:val="24"/>
          <w:shd w:val="clear" w:color="auto" w:fill="FFFFFF"/>
          <w:lang w:val="en-US"/>
        </w:rPr>
      </w:pPr>
    </w:p>
    <w:p w:rsidR="00F44C96" w:rsidRDefault="00F44C96" w:rsidP="00152686">
      <w:pPr>
        <w:spacing w:after="0" w:line="360" w:lineRule="auto"/>
        <w:rPr>
          <w:rFonts w:ascii="Times New Roman" w:hAnsi="Times New Roman"/>
          <w:bCs/>
          <w:i/>
          <w:sz w:val="24"/>
          <w:szCs w:val="24"/>
          <w:lang w:val="en-US"/>
        </w:rPr>
      </w:pPr>
      <w:r>
        <w:rPr>
          <w:rFonts w:ascii="Times New Roman" w:hAnsi="Times New Roman"/>
          <w:bCs/>
          <w:i/>
          <w:sz w:val="24"/>
          <w:szCs w:val="24"/>
          <w:lang w:val="en-US"/>
        </w:rPr>
        <w:t>Verification of the inadequacy of Villermaux-Dushman protocol at low Re values.</w:t>
      </w:r>
    </w:p>
    <w:p w:rsidR="00F44C96" w:rsidRDefault="00006A03" w:rsidP="00152686">
      <w:pPr>
        <w:spacing w:after="0" w:line="360" w:lineRule="auto"/>
        <w:rPr>
          <w:rFonts w:ascii="Times New Roman" w:hAnsi="Times New Roman"/>
          <w:bCs/>
          <w:sz w:val="24"/>
          <w:szCs w:val="24"/>
          <w:lang w:val="en-US"/>
        </w:rPr>
      </w:pPr>
      <w:r>
        <w:rPr>
          <w:rFonts w:ascii="Times New Roman" w:hAnsi="Times New Roman"/>
          <w:bCs/>
          <w:sz w:val="24"/>
          <w:szCs w:val="24"/>
          <w:lang w:val="en-US"/>
        </w:rPr>
        <w:t>Simple interphase mass transfer between two immiscible liquids (water and crude biodiesel) was used to verify the observed performance inconsistency in this study</w:t>
      </w:r>
      <w:r w:rsidR="001312F9">
        <w:rPr>
          <w:rFonts w:ascii="Times New Roman" w:hAnsi="Times New Roman"/>
          <w:bCs/>
          <w:sz w:val="24"/>
          <w:szCs w:val="24"/>
          <w:lang w:val="en-US"/>
        </w:rPr>
        <w:t>.</w:t>
      </w:r>
      <w:r w:rsidR="001312F9">
        <w:rPr>
          <w:rFonts w:ascii="Times New Roman" w:hAnsi="Times New Roman"/>
          <w:bCs/>
          <w:sz w:val="24"/>
          <w:szCs w:val="24"/>
          <w:lang w:val="en-US"/>
        </w:rPr>
        <w:fldChar w:fldCharType="begin" w:fldLock="1"/>
      </w:r>
      <w:r w:rsidR="001312F9">
        <w:rPr>
          <w:rFonts w:ascii="Times New Roman" w:hAnsi="Times New Roman"/>
          <w:bCs/>
          <w:sz w:val="24"/>
          <w:szCs w:val="24"/>
          <w:lang w:val="en-US"/>
        </w:rPr>
        <w:instrText>ADDIN CSL_CITATION {"citationItems":[{"id":"ITEM-1","itemData":{"DOI":"10.1002/aic.11333","abstract":"Abstract In this work, the mass transfer characteristics of immiscible fluids in the two kinds of stainless steel T-junction microchannels, the opposing-flow and the cross-flow T-junction, are investigated experimentally. Water-succinic acid-n-butanol is chosen as a typical example of liquid–liquid two-phase mass transfer process. In our experiments, the mixture velocities of the immiscible liquid–liquid two phases are varied in the range from 0.01 to 2.5 m/s for the 0.4 mm microchannel and from 0.005 to 2.0 m/s for the 0.6 mm microchannel, respectively. The Reynolds numbers of the two-phase mixture vary between 19 and 650. The overall volumetric mass transfer coefficients are determined quantitatively in a single microchannel, and their values are in the ranges of 0.067–17.35 s−1, which are two or three orders of magnitude higher than those of conventional liquid–liquid contactors. In addition, the effects of the inlet configurations, the fluids inlet locations, the height and the length of the mixing channel, the volumetric flux ratio have been investigated. Empirical correlations to predict the volumetric mass transfer coefficients based on the experimental data are developed. © 2007 American Institute of Chemical Engineers AIChE J, 2007","author":[{"dropping-particle":"","family":"Zhao","given":"Yuchao","non-dropping-particle":"","parse-names":false,"suffix":""},{"dropping-particle":"","family":"Chen","given":"Guangwen","non-dropping-particle":"","parse-names":false,"suffix":""},{"dropping-particle":"","family":"Yuan","given":"Quan","non-dropping-particle":"","parse-names":false,"suffix":""}],"container-title":"AIChE Journal","id":"ITEM-1","issue":"12","issued":{"date-parts":[["2007"]]},"page":"3042-3053","title":"Liquid–liquid two-phase mass transfer in the T-junction microchannels","type":"article-journal","volume":"53"},"uris":["http://www.mendeley.com/documents/?uuid=23014633-fd26-4939-867d-c77d53ca2017"]}],"mendeley":{"formattedCitation":"&lt;sup&gt;21&lt;/sup&gt;","plainTextFormattedCitation":"21"},"properties":{"noteIndex":0},"schema":"https://github.com/citation-style-language/schema/raw/master/csl-citation.json"}</w:instrText>
      </w:r>
      <w:r w:rsidR="001312F9">
        <w:rPr>
          <w:rFonts w:ascii="Times New Roman" w:hAnsi="Times New Roman"/>
          <w:bCs/>
          <w:sz w:val="24"/>
          <w:szCs w:val="24"/>
          <w:lang w:val="en-US"/>
        </w:rPr>
        <w:fldChar w:fldCharType="separate"/>
      </w:r>
      <w:r w:rsidR="001312F9" w:rsidRPr="001312F9">
        <w:rPr>
          <w:rFonts w:ascii="Times New Roman" w:hAnsi="Times New Roman"/>
          <w:bCs/>
          <w:noProof/>
          <w:sz w:val="24"/>
          <w:szCs w:val="24"/>
          <w:vertAlign w:val="superscript"/>
          <w:lang w:val="en-US"/>
        </w:rPr>
        <w:t>21</w:t>
      </w:r>
      <w:r w:rsidR="001312F9">
        <w:rPr>
          <w:rFonts w:ascii="Times New Roman" w:hAnsi="Times New Roman"/>
          <w:bCs/>
          <w:sz w:val="24"/>
          <w:szCs w:val="24"/>
          <w:lang w:val="en-US"/>
        </w:rPr>
        <w:fldChar w:fldCharType="end"/>
      </w:r>
      <w:r>
        <w:rPr>
          <w:rFonts w:ascii="Times New Roman" w:hAnsi="Times New Roman"/>
          <w:bCs/>
          <w:sz w:val="24"/>
          <w:szCs w:val="24"/>
          <w:lang w:val="en-US"/>
        </w:rPr>
        <w:t xml:space="preserve"> Briefly, hydrophobic</w:t>
      </w:r>
      <w:r w:rsidR="00F24FB1">
        <w:rPr>
          <w:rFonts w:ascii="Times New Roman" w:hAnsi="Times New Roman"/>
          <w:bCs/>
          <w:sz w:val="24"/>
          <w:szCs w:val="24"/>
          <w:lang w:val="en-US"/>
        </w:rPr>
        <w:t xml:space="preserve"> (</w:t>
      </w:r>
      <w:r w:rsidR="00945763">
        <w:rPr>
          <w:rFonts w:ascii="Times New Roman" w:hAnsi="Times New Roman"/>
          <w:bCs/>
          <w:sz w:val="24"/>
          <w:szCs w:val="24"/>
          <w:lang w:val="en-US"/>
        </w:rPr>
        <w:t xml:space="preserve">crude </w:t>
      </w:r>
      <w:r w:rsidR="00F24FB1">
        <w:rPr>
          <w:rFonts w:ascii="Times New Roman" w:hAnsi="Times New Roman"/>
          <w:bCs/>
          <w:sz w:val="24"/>
          <w:szCs w:val="24"/>
          <w:lang w:val="en-US"/>
        </w:rPr>
        <w:t xml:space="preserve">biodiesel) </w:t>
      </w:r>
      <w:r>
        <w:rPr>
          <w:rFonts w:ascii="Times New Roman" w:hAnsi="Times New Roman"/>
          <w:bCs/>
          <w:sz w:val="24"/>
          <w:szCs w:val="24"/>
          <w:lang w:val="en-US"/>
        </w:rPr>
        <w:t>phase re</w:t>
      </w:r>
      <w:r w:rsidR="00F24FB1">
        <w:rPr>
          <w:rFonts w:ascii="Times New Roman" w:hAnsi="Times New Roman"/>
          <w:bCs/>
          <w:sz w:val="24"/>
          <w:szCs w:val="24"/>
          <w:lang w:val="en-US"/>
        </w:rPr>
        <w:t xml:space="preserve">sulting from </w:t>
      </w:r>
      <w:r w:rsidR="00945763">
        <w:rPr>
          <w:rFonts w:ascii="Times New Roman" w:hAnsi="Times New Roman"/>
          <w:bCs/>
          <w:sz w:val="24"/>
          <w:szCs w:val="24"/>
          <w:lang w:val="en-US"/>
        </w:rPr>
        <w:t>ultrasonic assisted-</w:t>
      </w:r>
      <w:r w:rsidR="00F24FB1">
        <w:rPr>
          <w:rFonts w:ascii="Times New Roman" w:hAnsi="Times New Roman"/>
          <w:bCs/>
          <w:sz w:val="24"/>
          <w:szCs w:val="24"/>
          <w:lang w:val="en-US"/>
        </w:rPr>
        <w:t>methanolysis</w:t>
      </w:r>
      <w:r>
        <w:rPr>
          <w:rFonts w:ascii="Times New Roman" w:hAnsi="Times New Roman"/>
          <w:bCs/>
          <w:sz w:val="24"/>
          <w:szCs w:val="24"/>
          <w:lang w:val="en-US"/>
        </w:rPr>
        <w:t xml:space="preserve"> of fresh cooking Hedeya oil </w:t>
      </w:r>
      <w:r w:rsidR="00F24FB1">
        <w:rPr>
          <w:rFonts w:ascii="Times New Roman" w:hAnsi="Times New Roman"/>
          <w:bCs/>
          <w:sz w:val="24"/>
          <w:szCs w:val="24"/>
          <w:lang w:val="en-US"/>
        </w:rPr>
        <w:t xml:space="preserve">in presence of </w:t>
      </w:r>
      <w:r w:rsidR="00945763">
        <w:rPr>
          <w:rFonts w:ascii="Times New Roman" w:hAnsi="Times New Roman"/>
          <w:bCs/>
          <w:sz w:val="24"/>
          <w:szCs w:val="24"/>
          <w:lang w:val="en-US"/>
        </w:rPr>
        <w:t xml:space="preserve">1 wt.% </w:t>
      </w:r>
      <w:r w:rsidR="00F24FB1">
        <w:rPr>
          <w:rFonts w:ascii="Times New Roman" w:hAnsi="Times New Roman"/>
          <w:bCs/>
          <w:sz w:val="24"/>
          <w:szCs w:val="24"/>
          <w:lang w:val="en-US"/>
        </w:rPr>
        <w:t>KOH as homogeneous catalyst</w:t>
      </w:r>
      <w:r w:rsidR="00945763">
        <w:rPr>
          <w:rFonts w:ascii="Times New Roman" w:hAnsi="Times New Roman"/>
          <w:bCs/>
          <w:sz w:val="24"/>
          <w:szCs w:val="24"/>
          <w:lang w:val="en-US"/>
        </w:rPr>
        <w:t xml:space="preserve"> for 40 minutes</w:t>
      </w:r>
      <w:r w:rsidR="0014258D">
        <w:rPr>
          <w:rFonts w:ascii="Times New Roman" w:hAnsi="Times New Roman"/>
          <w:bCs/>
          <w:sz w:val="24"/>
          <w:szCs w:val="24"/>
          <w:lang w:val="en-US"/>
        </w:rPr>
        <w:t xml:space="preserve">, with methanol to oil molar ratio of 6:1, at 60 </w:t>
      </w:r>
      <w:r w:rsidR="0014258D" w:rsidRPr="0014258D">
        <w:rPr>
          <w:rFonts w:ascii="Times New Roman" w:hAnsi="Times New Roman"/>
          <w:bCs/>
          <w:sz w:val="24"/>
          <w:szCs w:val="24"/>
          <w:vertAlign w:val="superscript"/>
          <w:lang w:val="en-US"/>
        </w:rPr>
        <w:t>o</w:t>
      </w:r>
      <w:r w:rsidR="0014258D">
        <w:rPr>
          <w:rFonts w:ascii="Times New Roman" w:hAnsi="Times New Roman"/>
          <w:bCs/>
          <w:sz w:val="24"/>
          <w:szCs w:val="24"/>
          <w:lang w:val="en-US"/>
        </w:rPr>
        <w:t>C</w:t>
      </w:r>
      <w:r w:rsidR="00945763">
        <w:rPr>
          <w:rFonts w:ascii="Times New Roman" w:hAnsi="Times New Roman"/>
          <w:bCs/>
          <w:sz w:val="24"/>
          <w:szCs w:val="24"/>
          <w:lang w:val="en-US"/>
        </w:rPr>
        <w:t>;</w:t>
      </w:r>
      <w:r w:rsidR="00F24FB1">
        <w:rPr>
          <w:rFonts w:ascii="Times New Roman" w:hAnsi="Times New Roman"/>
          <w:bCs/>
          <w:sz w:val="24"/>
          <w:szCs w:val="24"/>
          <w:lang w:val="en-US"/>
        </w:rPr>
        <w:t xml:space="preserve"> was con</w:t>
      </w:r>
      <w:r w:rsidR="00A46D56">
        <w:rPr>
          <w:rFonts w:ascii="Times New Roman" w:hAnsi="Times New Roman"/>
          <w:bCs/>
          <w:sz w:val="24"/>
          <w:szCs w:val="24"/>
          <w:lang w:val="en-US"/>
        </w:rPr>
        <w:t>t</w:t>
      </w:r>
      <w:r w:rsidR="00773D65">
        <w:rPr>
          <w:rFonts w:ascii="Times New Roman" w:hAnsi="Times New Roman"/>
          <w:bCs/>
          <w:sz w:val="24"/>
          <w:szCs w:val="24"/>
          <w:lang w:val="en-US"/>
        </w:rPr>
        <w:t>acted with alkaline water (0.016</w:t>
      </w:r>
      <w:r w:rsidR="00F24FB1">
        <w:rPr>
          <w:rFonts w:ascii="Times New Roman" w:hAnsi="Times New Roman"/>
          <w:bCs/>
          <w:sz w:val="24"/>
          <w:szCs w:val="24"/>
          <w:lang w:val="en-US"/>
        </w:rPr>
        <w:t xml:space="preserve"> M KOH) in the same experiment</w:t>
      </w:r>
      <w:r w:rsidR="00945763">
        <w:rPr>
          <w:rFonts w:ascii="Times New Roman" w:hAnsi="Times New Roman"/>
          <w:bCs/>
          <w:sz w:val="24"/>
          <w:szCs w:val="24"/>
          <w:lang w:val="en-US"/>
        </w:rPr>
        <w:t>al set-up of Fig 1</w:t>
      </w:r>
      <w:r w:rsidR="0014258D">
        <w:rPr>
          <w:rFonts w:ascii="Times New Roman" w:hAnsi="Times New Roman"/>
          <w:bCs/>
          <w:sz w:val="24"/>
          <w:szCs w:val="24"/>
          <w:lang w:val="en-US"/>
        </w:rPr>
        <w:t>, at flow rates</w:t>
      </w:r>
      <w:r w:rsidR="00595B2D">
        <w:rPr>
          <w:rFonts w:ascii="Times New Roman" w:hAnsi="Times New Roman"/>
          <w:bCs/>
          <w:sz w:val="24"/>
          <w:szCs w:val="24"/>
          <w:lang w:val="en-US"/>
        </w:rPr>
        <w:t xml:space="preserve"> of 70, 50, 20,</w:t>
      </w:r>
      <w:r w:rsidR="0014258D">
        <w:rPr>
          <w:rFonts w:ascii="Times New Roman" w:hAnsi="Times New Roman"/>
          <w:bCs/>
          <w:sz w:val="24"/>
          <w:szCs w:val="24"/>
          <w:lang w:val="en-US"/>
        </w:rPr>
        <w:t xml:space="preserve"> 7</w:t>
      </w:r>
      <w:r w:rsidR="00595B2D">
        <w:rPr>
          <w:rFonts w:ascii="Times New Roman" w:hAnsi="Times New Roman"/>
          <w:bCs/>
          <w:sz w:val="24"/>
          <w:szCs w:val="24"/>
          <w:lang w:val="en-US"/>
        </w:rPr>
        <w:t xml:space="preserve"> and 1</w:t>
      </w:r>
      <w:r w:rsidR="0014258D">
        <w:rPr>
          <w:rFonts w:ascii="Times New Roman" w:hAnsi="Times New Roman"/>
          <w:bCs/>
          <w:sz w:val="24"/>
          <w:szCs w:val="24"/>
          <w:lang w:val="en-US"/>
        </w:rPr>
        <w:t xml:space="preserve"> mL/hr, each for T, Y and arrow-shaped </w:t>
      </w:r>
      <w:r w:rsidR="00595B2D">
        <w:rPr>
          <w:rFonts w:ascii="Times New Roman" w:hAnsi="Times New Roman"/>
          <w:bCs/>
          <w:sz w:val="24"/>
          <w:szCs w:val="24"/>
          <w:lang w:val="en-US"/>
        </w:rPr>
        <w:t>micro</w:t>
      </w:r>
      <w:r w:rsidR="0014258D">
        <w:rPr>
          <w:rFonts w:ascii="Times New Roman" w:hAnsi="Times New Roman"/>
          <w:bCs/>
          <w:sz w:val="24"/>
          <w:szCs w:val="24"/>
          <w:lang w:val="en-US"/>
        </w:rPr>
        <w:t>mixers, respectively</w:t>
      </w:r>
      <w:r w:rsidR="00945763">
        <w:rPr>
          <w:rFonts w:ascii="Times New Roman" w:hAnsi="Times New Roman"/>
          <w:bCs/>
          <w:sz w:val="24"/>
          <w:szCs w:val="24"/>
          <w:lang w:val="en-US"/>
        </w:rPr>
        <w:t>. After micromixing,</w:t>
      </w:r>
      <w:r w:rsidR="00A3404A">
        <w:rPr>
          <w:rFonts w:ascii="Times New Roman" w:hAnsi="Times New Roman"/>
          <w:bCs/>
          <w:sz w:val="24"/>
          <w:szCs w:val="24"/>
          <w:lang w:val="en-US"/>
        </w:rPr>
        <w:t xml:space="preserve"> 5 mL of</w:t>
      </w:r>
      <w:r w:rsidR="00945763">
        <w:rPr>
          <w:rFonts w:ascii="Times New Roman" w:hAnsi="Times New Roman"/>
          <w:bCs/>
          <w:sz w:val="24"/>
          <w:szCs w:val="24"/>
          <w:lang w:val="en-US"/>
        </w:rPr>
        <w:t xml:space="preserve"> the resulting aqueous phase was titrated over </w:t>
      </w:r>
      <w:r w:rsidR="00A46D56">
        <w:rPr>
          <w:rFonts w:ascii="Times New Roman" w:hAnsi="Times New Roman"/>
          <w:bCs/>
          <w:sz w:val="24"/>
          <w:szCs w:val="24"/>
          <w:lang w:val="en-US"/>
        </w:rPr>
        <w:t>0.03 M HCl, using phenolphthalein indicator.</w:t>
      </w:r>
      <w:r w:rsidR="00A62A1F">
        <w:rPr>
          <w:rFonts w:ascii="Times New Roman" w:hAnsi="Times New Roman"/>
          <w:bCs/>
          <w:sz w:val="24"/>
          <w:szCs w:val="24"/>
          <w:lang w:val="en-US"/>
        </w:rPr>
        <w:t xml:space="preserve"> We are currently working to </w:t>
      </w:r>
      <w:r w:rsidR="0014258D">
        <w:rPr>
          <w:rFonts w:ascii="Times New Roman" w:hAnsi="Times New Roman"/>
          <w:bCs/>
          <w:sz w:val="24"/>
          <w:szCs w:val="24"/>
          <w:lang w:val="en-US"/>
        </w:rPr>
        <w:t xml:space="preserve">fully </w:t>
      </w:r>
      <w:r w:rsidR="00A62A1F">
        <w:rPr>
          <w:rFonts w:ascii="Times New Roman" w:hAnsi="Times New Roman"/>
          <w:bCs/>
          <w:sz w:val="24"/>
          <w:szCs w:val="24"/>
          <w:lang w:val="en-US"/>
        </w:rPr>
        <w:t>develop this performance characterization technique and the details</w:t>
      </w:r>
      <w:r w:rsidR="0014258D">
        <w:rPr>
          <w:rFonts w:ascii="Times New Roman" w:hAnsi="Times New Roman"/>
          <w:bCs/>
          <w:sz w:val="24"/>
          <w:szCs w:val="24"/>
          <w:lang w:val="en-US"/>
        </w:rPr>
        <w:t xml:space="preserve"> would be published soon, in this</w:t>
      </w:r>
      <w:r w:rsidR="00A62A1F">
        <w:rPr>
          <w:rFonts w:ascii="Times New Roman" w:hAnsi="Times New Roman"/>
          <w:bCs/>
          <w:sz w:val="24"/>
          <w:szCs w:val="24"/>
          <w:lang w:val="en-US"/>
        </w:rPr>
        <w:t xml:space="preserve"> journal.</w:t>
      </w:r>
    </w:p>
    <w:p w:rsidR="00A3404A" w:rsidRDefault="00A3404A" w:rsidP="00152686">
      <w:pPr>
        <w:spacing w:after="0" w:line="360" w:lineRule="auto"/>
        <w:rPr>
          <w:rFonts w:ascii="Times New Roman" w:hAnsi="Times New Roman"/>
          <w:bCs/>
          <w:sz w:val="24"/>
          <w:szCs w:val="24"/>
          <w:lang w:val="en-US"/>
        </w:rPr>
      </w:pPr>
      <w:r>
        <w:rPr>
          <w:rFonts w:ascii="Times New Roman" w:hAnsi="Times New Roman"/>
          <w:bCs/>
          <w:sz w:val="24"/>
          <w:szCs w:val="24"/>
          <w:lang w:val="en-US"/>
        </w:rPr>
        <w:t>Titrimetry revealed a progressive increase in alkalinity of biodiesel wash water, for all the micromixers</w:t>
      </w:r>
      <w:r w:rsidR="00595B2D">
        <w:rPr>
          <w:rFonts w:ascii="Times New Roman" w:hAnsi="Times New Roman"/>
          <w:bCs/>
          <w:sz w:val="24"/>
          <w:szCs w:val="24"/>
          <w:lang w:val="en-US"/>
        </w:rPr>
        <w:t xml:space="preserve">, as the flow rate was increased. </w:t>
      </w:r>
      <w:r w:rsidR="005312D5">
        <w:rPr>
          <w:rFonts w:ascii="Times New Roman" w:hAnsi="Times New Roman"/>
          <w:bCs/>
          <w:sz w:val="24"/>
          <w:szCs w:val="24"/>
          <w:lang w:val="en-US"/>
        </w:rPr>
        <w:t xml:space="preserve">Table 1 shows the titrimetric result of aqueous extract phase. </w:t>
      </w:r>
      <w:r w:rsidR="00595B2D">
        <w:rPr>
          <w:rFonts w:ascii="Times New Roman" w:hAnsi="Times New Roman"/>
          <w:bCs/>
          <w:sz w:val="24"/>
          <w:szCs w:val="24"/>
          <w:lang w:val="en-US"/>
        </w:rPr>
        <w:t xml:space="preserve">Also, at every flow rate, </w:t>
      </w:r>
      <w:r w:rsidR="005312D5">
        <w:rPr>
          <w:rFonts w:ascii="Times New Roman" w:hAnsi="Times New Roman"/>
          <w:bCs/>
          <w:sz w:val="24"/>
          <w:szCs w:val="24"/>
          <w:lang w:val="en-US"/>
        </w:rPr>
        <w:t>the order of mixing performance was arrow &gt; T &gt; Y mixer.</w:t>
      </w:r>
    </w:p>
    <w:p w:rsidR="003476B4" w:rsidRDefault="003476B4" w:rsidP="00152686">
      <w:pPr>
        <w:spacing w:after="0" w:line="360" w:lineRule="auto"/>
        <w:rPr>
          <w:rFonts w:ascii="Times New Roman" w:hAnsi="Times New Roman"/>
          <w:bCs/>
          <w:sz w:val="24"/>
          <w:szCs w:val="24"/>
          <w:lang w:val="en-US"/>
        </w:rPr>
      </w:pPr>
      <w:r>
        <w:rPr>
          <w:rFonts w:ascii="Times New Roman" w:hAnsi="Times New Roman"/>
          <w:bCs/>
          <w:sz w:val="24"/>
          <w:szCs w:val="24"/>
          <w:lang w:val="en-US"/>
        </w:rPr>
        <w:t>Table 1: T</w:t>
      </w:r>
      <w:r>
        <w:rPr>
          <w:rFonts w:ascii="Times New Roman" w:hAnsi="Times New Roman"/>
          <w:bCs/>
          <w:sz w:val="24"/>
          <w:szCs w:val="24"/>
          <w:lang w:val="en-US"/>
        </w:rPr>
        <w:t>itrimetric result of aqueous extract phase.</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5"/>
        <w:gridCol w:w="2265"/>
        <w:gridCol w:w="2265"/>
        <w:gridCol w:w="2266"/>
      </w:tblGrid>
      <w:tr w:rsidR="00FC34A5" w:rsidRPr="003476B4" w:rsidTr="00FC34A5">
        <w:trPr>
          <w:jc w:val="center"/>
        </w:trPr>
        <w:tc>
          <w:tcPr>
            <w:tcW w:w="2265" w:type="dxa"/>
            <w:vMerge w:val="restart"/>
            <w:tcBorders>
              <w:top w:val="single" w:sz="4" w:space="0" w:color="auto"/>
            </w:tcBorders>
            <w:vAlign w:val="center"/>
          </w:tcPr>
          <w:p w:rsidR="00FC34A5" w:rsidRPr="003476B4" w:rsidRDefault="00FC34A5" w:rsidP="00FC34A5">
            <w:pPr>
              <w:spacing w:after="0" w:line="360" w:lineRule="auto"/>
              <w:jc w:val="center"/>
              <w:rPr>
                <w:rFonts w:ascii="Times New Roman" w:hAnsi="Times New Roman"/>
                <w:b/>
                <w:spacing w:val="2"/>
                <w:sz w:val="24"/>
                <w:szCs w:val="24"/>
                <w:shd w:val="clear" w:color="auto" w:fill="FFFFFF"/>
                <w:lang w:val="en-US"/>
              </w:rPr>
            </w:pPr>
            <w:r w:rsidRPr="003476B4">
              <w:rPr>
                <w:rFonts w:ascii="Times New Roman" w:hAnsi="Times New Roman"/>
                <w:b/>
                <w:spacing w:val="2"/>
                <w:sz w:val="24"/>
                <w:szCs w:val="24"/>
                <w:shd w:val="clear" w:color="auto" w:fill="FFFFFF"/>
                <w:lang w:val="en-US"/>
              </w:rPr>
              <w:t>Flow rate / mLhr</w:t>
            </w:r>
            <w:r w:rsidRPr="003476B4">
              <w:rPr>
                <w:rFonts w:ascii="Times New Roman" w:hAnsi="Times New Roman"/>
                <w:b/>
                <w:spacing w:val="2"/>
                <w:sz w:val="24"/>
                <w:szCs w:val="24"/>
                <w:shd w:val="clear" w:color="auto" w:fill="FFFFFF"/>
                <w:vertAlign w:val="superscript"/>
                <w:lang w:val="en-US"/>
              </w:rPr>
              <w:t>-1</w:t>
            </w:r>
          </w:p>
        </w:tc>
        <w:tc>
          <w:tcPr>
            <w:tcW w:w="6796" w:type="dxa"/>
            <w:gridSpan w:val="3"/>
            <w:tcBorders>
              <w:top w:val="single" w:sz="4" w:space="0" w:color="auto"/>
              <w:bottom w:val="single" w:sz="4" w:space="0" w:color="auto"/>
            </w:tcBorders>
            <w:vAlign w:val="center"/>
          </w:tcPr>
          <w:p w:rsidR="00FC34A5" w:rsidRPr="003476B4" w:rsidRDefault="00FC34A5" w:rsidP="00FC34A5">
            <w:pPr>
              <w:spacing w:after="0" w:line="360" w:lineRule="auto"/>
              <w:jc w:val="center"/>
              <w:rPr>
                <w:rFonts w:ascii="Times New Roman" w:hAnsi="Times New Roman"/>
                <w:b/>
                <w:spacing w:val="2"/>
                <w:sz w:val="24"/>
                <w:szCs w:val="24"/>
                <w:shd w:val="clear" w:color="auto" w:fill="FFFFFF"/>
                <w:lang w:val="en-US"/>
              </w:rPr>
            </w:pPr>
            <w:r w:rsidRPr="003476B4">
              <w:rPr>
                <w:rFonts w:ascii="Times New Roman" w:hAnsi="Times New Roman"/>
                <w:b/>
                <w:spacing w:val="2"/>
                <w:sz w:val="24"/>
                <w:szCs w:val="24"/>
                <w:shd w:val="clear" w:color="auto" w:fill="FFFFFF"/>
                <w:lang w:val="en-US"/>
              </w:rPr>
              <w:t>Volume of HCl used / mL</w:t>
            </w:r>
          </w:p>
        </w:tc>
      </w:tr>
      <w:tr w:rsidR="00FC34A5" w:rsidRPr="003476B4" w:rsidTr="00FC34A5">
        <w:trPr>
          <w:jc w:val="center"/>
        </w:trPr>
        <w:tc>
          <w:tcPr>
            <w:tcW w:w="2265" w:type="dxa"/>
            <w:vMerge/>
            <w:tcBorders>
              <w:bottom w:val="single" w:sz="4" w:space="0" w:color="auto"/>
            </w:tcBorders>
            <w:vAlign w:val="center"/>
          </w:tcPr>
          <w:p w:rsidR="00FC34A5" w:rsidRPr="003476B4" w:rsidRDefault="00FC34A5" w:rsidP="00FC34A5">
            <w:pPr>
              <w:spacing w:after="0" w:line="360" w:lineRule="auto"/>
              <w:jc w:val="center"/>
              <w:rPr>
                <w:rFonts w:ascii="Times New Roman" w:hAnsi="Times New Roman"/>
                <w:b/>
                <w:spacing w:val="2"/>
                <w:sz w:val="24"/>
                <w:szCs w:val="24"/>
                <w:shd w:val="clear" w:color="auto" w:fill="FFFFFF"/>
                <w:lang w:val="en-US"/>
              </w:rPr>
            </w:pPr>
          </w:p>
        </w:tc>
        <w:tc>
          <w:tcPr>
            <w:tcW w:w="2265" w:type="dxa"/>
            <w:tcBorders>
              <w:top w:val="single" w:sz="4" w:space="0" w:color="auto"/>
              <w:bottom w:val="single" w:sz="4" w:space="0" w:color="auto"/>
            </w:tcBorders>
            <w:vAlign w:val="center"/>
          </w:tcPr>
          <w:p w:rsidR="00FC34A5" w:rsidRPr="003476B4" w:rsidRDefault="00FC34A5" w:rsidP="00FC34A5">
            <w:pPr>
              <w:spacing w:after="0" w:line="360" w:lineRule="auto"/>
              <w:jc w:val="center"/>
              <w:rPr>
                <w:rFonts w:ascii="Times New Roman" w:hAnsi="Times New Roman"/>
                <w:b/>
                <w:spacing w:val="2"/>
                <w:sz w:val="24"/>
                <w:szCs w:val="24"/>
                <w:shd w:val="clear" w:color="auto" w:fill="FFFFFF"/>
                <w:lang w:val="en-US"/>
              </w:rPr>
            </w:pPr>
            <w:r w:rsidRPr="003476B4">
              <w:rPr>
                <w:rFonts w:ascii="Times New Roman" w:hAnsi="Times New Roman"/>
                <w:b/>
                <w:spacing w:val="2"/>
                <w:sz w:val="24"/>
                <w:szCs w:val="24"/>
                <w:shd w:val="clear" w:color="auto" w:fill="FFFFFF"/>
                <w:lang w:val="en-US"/>
              </w:rPr>
              <w:t>Arrow-mixer</w:t>
            </w:r>
          </w:p>
        </w:tc>
        <w:tc>
          <w:tcPr>
            <w:tcW w:w="2265" w:type="dxa"/>
            <w:tcBorders>
              <w:top w:val="single" w:sz="4" w:space="0" w:color="auto"/>
              <w:bottom w:val="single" w:sz="4" w:space="0" w:color="auto"/>
            </w:tcBorders>
            <w:vAlign w:val="center"/>
          </w:tcPr>
          <w:p w:rsidR="00FC34A5" w:rsidRPr="003476B4" w:rsidRDefault="00FC34A5" w:rsidP="00FC34A5">
            <w:pPr>
              <w:spacing w:after="0" w:line="360" w:lineRule="auto"/>
              <w:jc w:val="center"/>
              <w:rPr>
                <w:rFonts w:ascii="Times New Roman" w:hAnsi="Times New Roman"/>
                <w:b/>
                <w:spacing w:val="2"/>
                <w:sz w:val="24"/>
                <w:szCs w:val="24"/>
                <w:shd w:val="clear" w:color="auto" w:fill="FFFFFF"/>
                <w:lang w:val="en-US"/>
              </w:rPr>
            </w:pPr>
            <w:r w:rsidRPr="003476B4">
              <w:rPr>
                <w:rFonts w:ascii="Times New Roman" w:hAnsi="Times New Roman"/>
                <w:b/>
                <w:spacing w:val="2"/>
                <w:sz w:val="24"/>
                <w:szCs w:val="24"/>
                <w:shd w:val="clear" w:color="auto" w:fill="FFFFFF"/>
                <w:lang w:val="en-US"/>
              </w:rPr>
              <w:t>T-mixer</w:t>
            </w:r>
          </w:p>
        </w:tc>
        <w:tc>
          <w:tcPr>
            <w:tcW w:w="2266" w:type="dxa"/>
            <w:tcBorders>
              <w:top w:val="single" w:sz="4" w:space="0" w:color="auto"/>
              <w:bottom w:val="single" w:sz="4" w:space="0" w:color="auto"/>
            </w:tcBorders>
            <w:vAlign w:val="center"/>
          </w:tcPr>
          <w:p w:rsidR="00FC34A5" w:rsidRPr="003476B4" w:rsidRDefault="00FC34A5" w:rsidP="00FC34A5">
            <w:pPr>
              <w:spacing w:after="0" w:line="360" w:lineRule="auto"/>
              <w:jc w:val="center"/>
              <w:rPr>
                <w:rFonts w:ascii="Times New Roman" w:hAnsi="Times New Roman"/>
                <w:b/>
                <w:spacing w:val="2"/>
                <w:sz w:val="24"/>
                <w:szCs w:val="24"/>
                <w:shd w:val="clear" w:color="auto" w:fill="FFFFFF"/>
                <w:lang w:val="en-US"/>
              </w:rPr>
            </w:pPr>
            <w:r w:rsidRPr="003476B4">
              <w:rPr>
                <w:rFonts w:ascii="Times New Roman" w:hAnsi="Times New Roman"/>
                <w:b/>
                <w:spacing w:val="2"/>
                <w:sz w:val="24"/>
                <w:szCs w:val="24"/>
                <w:shd w:val="clear" w:color="auto" w:fill="FFFFFF"/>
                <w:lang w:val="en-US"/>
              </w:rPr>
              <w:t>Y-mixer</w:t>
            </w:r>
          </w:p>
        </w:tc>
      </w:tr>
      <w:tr w:rsidR="005312D5" w:rsidTr="00FC34A5">
        <w:trPr>
          <w:jc w:val="center"/>
        </w:trPr>
        <w:tc>
          <w:tcPr>
            <w:tcW w:w="2265" w:type="dxa"/>
            <w:tcBorders>
              <w:top w:val="single" w:sz="4" w:space="0" w:color="auto"/>
            </w:tcBorders>
            <w:vAlign w:val="center"/>
          </w:tcPr>
          <w:p w:rsidR="005312D5" w:rsidRDefault="005312D5" w:rsidP="00FC34A5">
            <w:pPr>
              <w:spacing w:after="0" w:line="360" w:lineRule="auto"/>
              <w:jc w:val="center"/>
              <w:rPr>
                <w:rFonts w:ascii="Times New Roman" w:hAnsi="Times New Roman"/>
                <w:spacing w:val="2"/>
                <w:sz w:val="24"/>
                <w:szCs w:val="24"/>
                <w:shd w:val="clear" w:color="auto" w:fill="FFFFFF"/>
                <w:lang w:val="en-US"/>
              </w:rPr>
            </w:pPr>
            <w:r>
              <w:rPr>
                <w:rFonts w:ascii="Times New Roman" w:hAnsi="Times New Roman"/>
                <w:spacing w:val="2"/>
                <w:sz w:val="24"/>
                <w:szCs w:val="24"/>
                <w:shd w:val="clear" w:color="auto" w:fill="FFFFFF"/>
                <w:lang w:val="en-US"/>
              </w:rPr>
              <w:t>70</w:t>
            </w:r>
          </w:p>
        </w:tc>
        <w:tc>
          <w:tcPr>
            <w:tcW w:w="2265" w:type="dxa"/>
            <w:tcBorders>
              <w:top w:val="single" w:sz="4" w:space="0" w:color="auto"/>
            </w:tcBorders>
            <w:vAlign w:val="center"/>
          </w:tcPr>
          <w:p w:rsidR="005312D5" w:rsidRDefault="005312D5" w:rsidP="00FC34A5">
            <w:pPr>
              <w:spacing w:after="0" w:line="360" w:lineRule="auto"/>
              <w:jc w:val="center"/>
              <w:rPr>
                <w:rFonts w:ascii="Times New Roman" w:hAnsi="Times New Roman"/>
                <w:spacing w:val="2"/>
                <w:sz w:val="24"/>
                <w:szCs w:val="24"/>
                <w:shd w:val="clear" w:color="auto" w:fill="FFFFFF"/>
                <w:lang w:val="en-US"/>
              </w:rPr>
            </w:pPr>
            <w:r>
              <w:rPr>
                <w:rFonts w:ascii="Times New Roman" w:hAnsi="Times New Roman"/>
                <w:spacing w:val="2"/>
                <w:sz w:val="24"/>
                <w:szCs w:val="24"/>
                <w:shd w:val="clear" w:color="auto" w:fill="FFFFFF"/>
                <w:lang w:val="en-US"/>
              </w:rPr>
              <w:t>3.65</w:t>
            </w:r>
          </w:p>
        </w:tc>
        <w:tc>
          <w:tcPr>
            <w:tcW w:w="2265" w:type="dxa"/>
            <w:tcBorders>
              <w:top w:val="single" w:sz="4" w:space="0" w:color="auto"/>
            </w:tcBorders>
            <w:vAlign w:val="center"/>
          </w:tcPr>
          <w:p w:rsidR="005312D5" w:rsidRDefault="005312D5" w:rsidP="00FC34A5">
            <w:pPr>
              <w:spacing w:after="0" w:line="360" w:lineRule="auto"/>
              <w:jc w:val="center"/>
              <w:rPr>
                <w:rFonts w:ascii="Times New Roman" w:hAnsi="Times New Roman"/>
                <w:spacing w:val="2"/>
                <w:sz w:val="24"/>
                <w:szCs w:val="24"/>
                <w:shd w:val="clear" w:color="auto" w:fill="FFFFFF"/>
                <w:lang w:val="en-US"/>
              </w:rPr>
            </w:pPr>
            <w:r>
              <w:rPr>
                <w:rFonts w:ascii="Times New Roman" w:hAnsi="Times New Roman"/>
                <w:spacing w:val="2"/>
                <w:sz w:val="24"/>
                <w:szCs w:val="24"/>
                <w:shd w:val="clear" w:color="auto" w:fill="FFFFFF"/>
                <w:lang w:val="en-US"/>
              </w:rPr>
              <w:t>3.50</w:t>
            </w:r>
          </w:p>
        </w:tc>
        <w:tc>
          <w:tcPr>
            <w:tcW w:w="2266" w:type="dxa"/>
            <w:tcBorders>
              <w:top w:val="single" w:sz="4" w:space="0" w:color="auto"/>
            </w:tcBorders>
            <w:vAlign w:val="center"/>
          </w:tcPr>
          <w:p w:rsidR="005312D5" w:rsidRDefault="005312D5" w:rsidP="00FC34A5">
            <w:pPr>
              <w:spacing w:after="0" w:line="360" w:lineRule="auto"/>
              <w:jc w:val="center"/>
              <w:rPr>
                <w:rFonts w:ascii="Times New Roman" w:hAnsi="Times New Roman"/>
                <w:spacing w:val="2"/>
                <w:sz w:val="24"/>
                <w:szCs w:val="24"/>
                <w:shd w:val="clear" w:color="auto" w:fill="FFFFFF"/>
                <w:lang w:val="en-US"/>
              </w:rPr>
            </w:pPr>
            <w:r>
              <w:rPr>
                <w:rFonts w:ascii="Times New Roman" w:hAnsi="Times New Roman"/>
                <w:spacing w:val="2"/>
                <w:sz w:val="24"/>
                <w:szCs w:val="24"/>
                <w:shd w:val="clear" w:color="auto" w:fill="FFFFFF"/>
                <w:lang w:val="en-US"/>
              </w:rPr>
              <w:t>3.15</w:t>
            </w:r>
          </w:p>
        </w:tc>
      </w:tr>
      <w:tr w:rsidR="005312D5" w:rsidTr="00FC34A5">
        <w:trPr>
          <w:jc w:val="center"/>
        </w:trPr>
        <w:tc>
          <w:tcPr>
            <w:tcW w:w="2265" w:type="dxa"/>
            <w:vAlign w:val="center"/>
          </w:tcPr>
          <w:p w:rsidR="005312D5" w:rsidRDefault="005312D5" w:rsidP="00FC34A5">
            <w:pPr>
              <w:spacing w:after="0" w:line="360" w:lineRule="auto"/>
              <w:jc w:val="center"/>
              <w:rPr>
                <w:rFonts w:ascii="Times New Roman" w:hAnsi="Times New Roman"/>
                <w:spacing w:val="2"/>
                <w:sz w:val="24"/>
                <w:szCs w:val="24"/>
                <w:shd w:val="clear" w:color="auto" w:fill="FFFFFF"/>
                <w:lang w:val="en-US"/>
              </w:rPr>
            </w:pPr>
            <w:r>
              <w:rPr>
                <w:rFonts w:ascii="Times New Roman" w:hAnsi="Times New Roman"/>
                <w:spacing w:val="2"/>
                <w:sz w:val="24"/>
                <w:szCs w:val="24"/>
                <w:shd w:val="clear" w:color="auto" w:fill="FFFFFF"/>
                <w:lang w:val="en-US"/>
              </w:rPr>
              <w:t>50</w:t>
            </w:r>
          </w:p>
        </w:tc>
        <w:tc>
          <w:tcPr>
            <w:tcW w:w="2265" w:type="dxa"/>
            <w:vAlign w:val="center"/>
          </w:tcPr>
          <w:p w:rsidR="005312D5" w:rsidRDefault="005312D5" w:rsidP="00FC34A5">
            <w:pPr>
              <w:spacing w:after="0" w:line="360" w:lineRule="auto"/>
              <w:jc w:val="center"/>
              <w:rPr>
                <w:rFonts w:ascii="Times New Roman" w:hAnsi="Times New Roman"/>
                <w:spacing w:val="2"/>
                <w:sz w:val="24"/>
                <w:szCs w:val="24"/>
                <w:shd w:val="clear" w:color="auto" w:fill="FFFFFF"/>
                <w:lang w:val="en-US"/>
              </w:rPr>
            </w:pPr>
            <w:r>
              <w:rPr>
                <w:rFonts w:ascii="Times New Roman" w:hAnsi="Times New Roman"/>
                <w:spacing w:val="2"/>
                <w:sz w:val="24"/>
                <w:szCs w:val="24"/>
                <w:shd w:val="clear" w:color="auto" w:fill="FFFFFF"/>
                <w:lang w:val="en-US"/>
              </w:rPr>
              <w:t>3.35</w:t>
            </w:r>
          </w:p>
        </w:tc>
        <w:tc>
          <w:tcPr>
            <w:tcW w:w="2265" w:type="dxa"/>
            <w:vAlign w:val="center"/>
          </w:tcPr>
          <w:p w:rsidR="005312D5" w:rsidRDefault="005312D5" w:rsidP="00FC34A5">
            <w:pPr>
              <w:spacing w:after="0" w:line="360" w:lineRule="auto"/>
              <w:jc w:val="center"/>
              <w:rPr>
                <w:rFonts w:ascii="Times New Roman" w:hAnsi="Times New Roman"/>
                <w:spacing w:val="2"/>
                <w:sz w:val="24"/>
                <w:szCs w:val="24"/>
                <w:shd w:val="clear" w:color="auto" w:fill="FFFFFF"/>
                <w:lang w:val="en-US"/>
              </w:rPr>
            </w:pPr>
            <w:r>
              <w:rPr>
                <w:rFonts w:ascii="Times New Roman" w:hAnsi="Times New Roman"/>
                <w:spacing w:val="2"/>
                <w:sz w:val="24"/>
                <w:szCs w:val="24"/>
                <w:shd w:val="clear" w:color="auto" w:fill="FFFFFF"/>
                <w:lang w:val="en-US"/>
              </w:rPr>
              <w:t>3.20</w:t>
            </w:r>
          </w:p>
        </w:tc>
        <w:tc>
          <w:tcPr>
            <w:tcW w:w="2266" w:type="dxa"/>
            <w:vAlign w:val="center"/>
          </w:tcPr>
          <w:p w:rsidR="005312D5" w:rsidRDefault="005312D5" w:rsidP="00FC34A5">
            <w:pPr>
              <w:spacing w:after="0" w:line="360" w:lineRule="auto"/>
              <w:jc w:val="center"/>
              <w:rPr>
                <w:rFonts w:ascii="Times New Roman" w:hAnsi="Times New Roman"/>
                <w:spacing w:val="2"/>
                <w:sz w:val="24"/>
                <w:szCs w:val="24"/>
                <w:shd w:val="clear" w:color="auto" w:fill="FFFFFF"/>
                <w:lang w:val="en-US"/>
              </w:rPr>
            </w:pPr>
            <w:r>
              <w:rPr>
                <w:rFonts w:ascii="Times New Roman" w:hAnsi="Times New Roman"/>
                <w:spacing w:val="2"/>
                <w:sz w:val="24"/>
                <w:szCs w:val="24"/>
                <w:shd w:val="clear" w:color="auto" w:fill="FFFFFF"/>
                <w:lang w:val="en-US"/>
              </w:rPr>
              <w:t>3.00</w:t>
            </w:r>
          </w:p>
        </w:tc>
      </w:tr>
      <w:tr w:rsidR="005312D5" w:rsidTr="00FC34A5">
        <w:trPr>
          <w:jc w:val="center"/>
        </w:trPr>
        <w:tc>
          <w:tcPr>
            <w:tcW w:w="2265" w:type="dxa"/>
            <w:vAlign w:val="center"/>
          </w:tcPr>
          <w:p w:rsidR="005312D5" w:rsidRDefault="005312D5" w:rsidP="00FC34A5">
            <w:pPr>
              <w:spacing w:after="0" w:line="360" w:lineRule="auto"/>
              <w:jc w:val="center"/>
              <w:rPr>
                <w:rFonts w:ascii="Times New Roman" w:hAnsi="Times New Roman"/>
                <w:spacing w:val="2"/>
                <w:sz w:val="24"/>
                <w:szCs w:val="24"/>
                <w:shd w:val="clear" w:color="auto" w:fill="FFFFFF"/>
                <w:lang w:val="en-US"/>
              </w:rPr>
            </w:pPr>
            <w:r>
              <w:rPr>
                <w:rFonts w:ascii="Times New Roman" w:hAnsi="Times New Roman"/>
                <w:spacing w:val="2"/>
                <w:sz w:val="24"/>
                <w:szCs w:val="24"/>
                <w:shd w:val="clear" w:color="auto" w:fill="FFFFFF"/>
                <w:lang w:val="en-US"/>
              </w:rPr>
              <w:t>20</w:t>
            </w:r>
          </w:p>
        </w:tc>
        <w:tc>
          <w:tcPr>
            <w:tcW w:w="2265" w:type="dxa"/>
            <w:vAlign w:val="center"/>
          </w:tcPr>
          <w:p w:rsidR="005312D5" w:rsidRDefault="005312D5" w:rsidP="00FC34A5">
            <w:pPr>
              <w:spacing w:after="0" w:line="360" w:lineRule="auto"/>
              <w:jc w:val="center"/>
              <w:rPr>
                <w:rFonts w:ascii="Times New Roman" w:hAnsi="Times New Roman"/>
                <w:spacing w:val="2"/>
                <w:sz w:val="24"/>
                <w:szCs w:val="24"/>
                <w:shd w:val="clear" w:color="auto" w:fill="FFFFFF"/>
                <w:lang w:val="en-US"/>
              </w:rPr>
            </w:pPr>
            <w:r>
              <w:rPr>
                <w:rFonts w:ascii="Times New Roman" w:hAnsi="Times New Roman"/>
                <w:spacing w:val="2"/>
                <w:sz w:val="24"/>
                <w:szCs w:val="24"/>
                <w:shd w:val="clear" w:color="auto" w:fill="FFFFFF"/>
                <w:lang w:val="en-US"/>
              </w:rPr>
              <w:t>3.10</w:t>
            </w:r>
          </w:p>
        </w:tc>
        <w:tc>
          <w:tcPr>
            <w:tcW w:w="2265" w:type="dxa"/>
            <w:vAlign w:val="center"/>
          </w:tcPr>
          <w:p w:rsidR="005312D5" w:rsidRDefault="005312D5" w:rsidP="00FC34A5">
            <w:pPr>
              <w:spacing w:after="0" w:line="360" w:lineRule="auto"/>
              <w:jc w:val="center"/>
              <w:rPr>
                <w:rFonts w:ascii="Times New Roman" w:hAnsi="Times New Roman"/>
                <w:spacing w:val="2"/>
                <w:sz w:val="24"/>
                <w:szCs w:val="24"/>
                <w:shd w:val="clear" w:color="auto" w:fill="FFFFFF"/>
                <w:lang w:val="en-US"/>
              </w:rPr>
            </w:pPr>
            <w:r>
              <w:rPr>
                <w:rFonts w:ascii="Times New Roman" w:hAnsi="Times New Roman"/>
                <w:spacing w:val="2"/>
                <w:sz w:val="24"/>
                <w:szCs w:val="24"/>
                <w:shd w:val="clear" w:color="auto" w:fill="FFFFFF"/>
                <w:lang w:val="en-US"/>
              </w:rPr>
              <w:t>2.95</w:t>
            </w:r>
          </w:p>
        </w:tc>
        <w:tc>
          <w:tcPr>
            <w:tcW w:w="2266" w:type="dxa"/>
            <w:vAlign w:val="center"/>
          </w:tcPr>
          <w:p w:rsidR="005312D5" w:rsidRDefault="005312D5" w:rsidP="00FC34A5">
            <w:pPr>
              <w:spacing w:after="0" w:line="360" w:lineRule="auto"/>
              <w:jc w:val="center"/>
              <w:rPr>
                <w:rFonts w:ascii="Times New Roman" w:hAnsi="Times New Roman"/>
                <w:spacing w:val="2"/>
                <w:sz w:val="24"/>
                <w:szCs w:val="24"/>
                <w:shd w:val="clear" w:color="auto" w:fill="FFFFFF"/>
                <w:lang w:val="en-US"/>
              </w:rPr>
            </w:pPr>
            <w:r>
              <w:rPr>
                <w:rFonts w:ascii="Times New Roman" w:hAnsi="Times New Roman"/>
                <w:spacing w:val="2"/>
                <w:sz w:val="24"/>
                <w:szCs w:val="24"/>
                <w:shd w:val="clear" w:color="auto" w:fill="FFFFFF"/>
                <w:lang w:val="en-US"/>
              </w:rPr>
              <w:t>2.85</w:t>
            </w:r>
          </w:p>
        </w:tc>
      </w:tr>
      <w:tr w:rsidR="005312D5" w:rsidTr="00FC34A5">
        <w:trPr>
          <w:jc w:val="center"/>
        </w:trPr>
        <w:tc>
          <w:tcPr>
            <w:tcW w:w="2265" w:type="dxa"/>
            <w:vAlign w:val="center"/>
          </w:tcPr>
          <w:p w:rsidR="005312D5" w:rsidRDefault="005312D5" w:rsidP="00FC34A5">
            <w:pPr>
              <w:spacing w:after="0" w:line="360" w:lineRule="auto"/>
              <w:jc w:val="center"/>
              <w:rPr>
                <w:rFonts w:ascii="Times New Roman" w:hAnsi="Times New Roman"/>
                <w:spacing w:val="2"/>
                <w:sz w:val="24"/>
                <w:szCs w:val="24"/>
                <w:shd w:val="clear" w:color="auto" w:fill="FFFFFF"/>
                <w:lang w:val="en-US"/>
              </w:rPr>
            </w:pPr>
            <w:r>
              <w:rPr>
                <w:rFonts w:ascii="Times New Roman" w:hAnsi="Times New Roman"/>
                <w:spacing w:val="2"/>
                <w:sz w:val="24"/>
                <w:szCs w:val="24"/>
                <w:shd w:val="clear" w:color="auto" w:fill="FFFFFF"/>
                <w:lang w:val="en-US"/>
              </w:rPr>
              <w:t>7</w:t>
            </w:r>
          </w:p>
        </w:tc>
        <w:tc>
          <w:tcPr>
            <w:tcW w:w="2265" w:type="dxa"/>
            <w:vAlign w:val="center"/>
          </w:tcPr>
          <w:p w:rsidR="005312D5" w:rsidRDefault="005312D5" w:rsidP="00FC34A5">
            <w:pPr>
              <w:spacing w:after="0" w:line="360" w:lineRule="auto"/>
              <w:jc w:val="center"/>
              <w:rPr>
                <w:rFonts w:ascii="Times New Roman" w:hAnsi="Times New Roman"/>
                <w:spacing w:val="2"/>
                <w:sz w:val="24"/>
                <w:szCs w:val="24"/>
                <w:shd w:val="clear" w:color="auto" w:fill="FFFFFF"/>
                <w:lang w:val="en-US"/>
              </w:rPr>
            </w:pPr>
            <w:r>
              <w:rPr>
                <w:rFonts w:ascii="Times New Roman" w:hAnsi="Times New Roman"/>
                <w:spacing w:val="2"/>
                <w:sz w:val="24"/>
                <w:szCs w:val="24"/>
                <w:shd w:val="clear" w:color="auto" w:fill="FFFFFF"/>
                <w:lang w:val="en-US"/>
              </w:rPr>
              <w:t>2.95</w:t>
            </w:r>
          </w:p>
        </w:tc>
        <w:tc>
          <w:tcPr>
            <w:tcW w:w="2265" w:type="dxa"/>
            <w:vAlign w:val="center"/>
          </w:tcPr>
          <w:p w:rsidR="005312D5" w:rsidRDefault="005312D5" w:rsidP="00FC34A5">
            <w:pPr>
              <w:spacing w:after="0" w:line="360" w:lineRule="auto"/>
              <w:jc w:val="center"/>
              <w:rPr>
                <w:rFonts w:ascii="Times New Roman" w:hAnsi="Times New Roman"/>
                <w:spacing w:val="2"/>
                <w:sz w:val="24"/>
                <w:szCs w:val="24"/>
                <w:shd w:val="clear" w:color="auto" w:fill="FFFFFF"/>
                <w:lang w:val="en-US"/>
              </w:rPr>
            </w:pPr>
            <w:r>
              <w:rPr>
                <w:rFonts w:ascii="Times New Roman" w:hAnsi="Times New Roman"/>
                <w:spacing w:val="2"/>
                <w:sz w:val="24"/>
                <w:szCs w:val="24"/>
                <w:shd w:val="clear" w:color="auto" w:fill="FFFFFF"/>
                <w:lang w:val="en-US"/>
              </w:rPr>
              <w:t>2.90</w:t>
            </w:r>
          </w:p>
        </w:tc>
        <w:tc>
          <w:tcPr>
            <w:tcW w:w="2266" w:type="dxa"/>
            <w:vAlign w:val="center"/>
          </w:tcPr>
          <w:p w:rsidR="005312D5" w:rsidRDefault="003476B4" w:rsidP="00FC34A5">
            <w:pPr>
              <w:spacing w:after="0" w:line="360" w:lineRule="auto"/>
              <w:jc w:val="center"/>
              <w:rPr>
                <w:rFonts w:ascii="Times New Roman" w:hAnsi="Times New Roman"/>
                <w:spacing w:val="2"/>
                <w:sz w:val="24"/>
                <w:szCs w:val="24"/>
                <w:shd w:val="clear" w:color="auto" w:fill="FFFFFF"/>
                <w:lang w:val="en-US"/>
              </w:rPr>
            </w:pPr>
            <w:r>
              <w:rPr>
                <w:rFonts w:ascii="Times New Roman" w:hAnsi="Times New Roman"/>
                <w:spacing w:val="2"/>
                <w:sz w:val="24"/>
                <w:szCs w:val="24"/>
                <w:shd w:val="clear" w:color="auto" w:fill="FFFFFF"/>
                <w:lang w:val="en-US"/>
              </w:rPr>
              <w:t>2.85</w:t>
            </w:r>
          </w:p>
        </w:tc>
      </w:tr>
      <w:tr w:rsidR="005312D5" w:rsidTr="00FC34A5">
        <w:trPr>
          <w:jc w:val="center"/>
        </w:trPr>
        <w:tc>
          <w:tcPr>
            <w:tcW w:w="2265" w:type="dxa"/>
            <w:vAlign w:val="center"/>
          </w:tcPr>
          <w:p w:rsidR="005312D5" w:rsidRDefault="005312D5" w:rsidP="00FC34A5">
            <w:pPr>
              <w:spacing w:after="0" w:line="360" w:lineRule="auto"/>
              <w:jc w:val="center"/>
              <w:rPr>
                <w:rFonts w:ascii="Times New Roman" w:hAnsi="Times New Roman"/>
                <w:spacing w:val="2"/>
                <w:sz w:val="24"/>
                <w:szCs w:val="24"/>
                <w:shd w:val="clear" w:color="auto" w:fill="FFFFFF"/>
                <w:lang w:val="en-US"/>
              </w:rPr>
            </w:pPr>
            <w:r>
              <w:rPr>
                <w:rFonts w:ascii="Times New Roman" w:hAnsi="Times New Roman"/>
                <w:spacing w:val="2"/>
                <w:sz w:val="24"/>
                <w:szCs w:val="24"/>
                <w:shd w:val="clear" w:color="auto" w:fill="FFFFFF"/>
                <w:lang w:val="en-US"/>
              </w:rPr>
              <w:t>1</w:t>
            </w:r>
          </w:p>
        </w:tc>
        <w:tc>
          <w:tcPr>
            <w:tcW w:w="2265" w:type="dxa"/>
            <w:vAlign w:val="center"/>
          </w:tcPr>
          <w:p w:rsidR="005312D5" w:rsidRDefault="005312D5" w:rsidP="00FC34A5">
            <w:pPr>
              <w:spacing w:after="0" w:line="360" w:lineRule="auto"/>
              <w:jc w:val="center"/>
              <w:rPr>
                <w:rFonts w:ascii="Times New Roman" w:hAnsi="Times New Roman"/>
                <w:spacing w:val="2"/>
                <w:sz w:val="24"/>
                <w:szCs w:val="24"/>
                <w:shd w:val="clear" w:color="auto" w:fill="FFFFFF"/>
                <w:lang w:val="en-US"/>
              </w:rPr>
            </w:pPr>
            <w:r>
              <w:rPr>
                <w:rFonts w:ascii="Times New Roman" w:hAnsi="Times New Roman"/>
                <w:spacing w:val="2"/>
                <w:sz w:val="24"/>
                <w:szCs w:val="24"/>
                <w:shd w:val="clear" w:color="auto" w:fill="FFFFFF"/>
                <w:lang w:val="en-US"/>
              </w:rPr>
              <w:t>2.85</w:t>
            </w:r>
          </w:p>
        </w:tc>
        <w:tc>
          <w:tcPr>
            <w:tcW w:w="2265" w:type="dxa"/>
            <w:vAlign w:val="center"/>
          </w:tcPr>
          <w:p w:rsidR="005312D5" w:rsidRDefault="005312D5" w:rsidP="00FC34A5">
            <w:pPr>
              <w:spacing w:after="0" w:line="360" w:lineRule="auto"/>
              <w:jc w:val="center"/>
              <w:rPr>
                <w:rFonts w:ascii="Times New Roman" w:hAnsi="Times New Roman"/>
                <w:spacing w:val="2"/>
                <w:sz w:val="24"/>
                <w:szCs w:val="24"/>
                <w:shd w:val="clear" w:color="auto" w:fill="FFFFFF"/>
                <w:lang w:val="en-US"/>
              </w:rPr>
            </w:pPr>
            <w:r>
              <w:rPr>
                <w:rFonts w:ascii="Times New Roman" w:hAnsi="Times New Roman"/>
                <w:spacing w:val="2"/>
                <w:sz w:val="24"/>
                <w:szCs w:val="24"/>
                <w:shd w:val="clear" w:color="auto" w:fill="FFFFFF"/>
                <w:lang w:val="en-US"/>
              </w:rPr>
              <w:t>2.85</w:t>
            </w:r>
          </w:p>
        </w:tc>
        <w:tc>
          <w:tcPr>
            <w:tcW w:w="2266" w:type="dxa"/>
            <w:vAlign w:val="center"/>
          </w:tcPr>
          <w:p w:rsidR="005312D5" w:rsidRDefault="003476B4" w:rsidP="00FC34A5">
            <w:pPr>
              <w:spacing w:after="0" w:line="360" w:lineRule="auto"/>
              <w:jc w:val="center"/>
              <w:rPr>
                <w:rFonts w:ascii="Times New Roman" w:hAnsi="Times New Roman"/>
                <w:spacing w:val="2"/>
                <w:sz w:val="24"/>
                <w:szCs w:val="24"/>
                <w:shd w:val="clear" w:color="auto" w:fill="FFFFFF"/>
                <w:lang w:val="en-US"/>
              </w:rPr>
            </w:pPr>
            <w:r>
              <w:rPr>
                <w:rFonts w:ascii="Times New Roman" w:hAnsi="Times New Roman"/>
                <w:spacing w:val="2"/>
                <w:sz w:val="24"/>
                <w:szCs w:val="24"/>
                <w:shd w:val="clear" w:color="auto" w:fill="FFFFFF"/>
                <w:lang w:val="en-US"/>
              </w:rPr>
              <w:t>2.80</w:t>
            </w:r>
          </w:p>
        </w:tc>
      </w:tr>
    </w:tbl>
    <w:p w:rsidR="005312D5" w:rsidRPr="00F44C96" w:rsidRDefault="005312D5" w:rsidP="00152686">
      <w:pPr>
        <w:spacing w:after="0" w:line="360" w:lineRule="auto"/>
        <w:rPr>
          <w:rFonts w:ascii="Times New Roman" w:hAnsi="Times New Roman"/>
          <w:spacing w:val="2"/>
          <w:sz w:val="24"/>
          <w:szCs w:val="24"/>
          <w:shd w:val="clear" w:color="auto" w:fill="FFFFFF"/>
          <w:lang w:val="en-US"/>
        </w:rPr>
      </w:pPr>
    </w:p>
    <w:p w:rsidR="009D24B1" w:rsidRDefault="009D24B1" w:rsidP="003A7C3D">
      <w:pPr>
        <w:spacing w:before="240" w:after="0" w:line="360" w:lineRule="auto"/>
        <w:jc w:val="center"/>
        <w:rPr>
          <w:rFonts w:ascii="Times New Roman" w:hAnsi="Times New Roman"/>
          <w:bCs/>
          <w:sz w:val="24"/>
          <w:szCs w:val="24"/>
          <w:lang w:val="en-GB"/>
        </w:rPr>
      </w:pPr>
      <w:r w:rsidRPr="002413B3">
        <w:rPr>
          <w:rFonts w:ascii="Times New Roman" w:hAnsi="Times New Roman"/>
          <w:bCs/>
          <w:sz w:val="24"/>
          <w:szCs w:val="24"/>
          <w:lang w:val="en-GB"/>
        </w:rPr>
        <w:lastRenderedPageBreak/>
        <w:t>CONCLUSION</w:t>
      </w:r>
    </w:p>
    <w:p w:rsidR="005C768B" w:rsidRPr="005C768B" w:rsidRDefault="005C768B" w:rsidP="005C768B">
      <w:pPr>
        <w:spacing w:after="0" w:line="360" w:lineRule="auto"/>
        <w:rPr>
          <w:rFonts w:ascii="Times New Roman" w:hAnsi="Times New Roman"/>
          <w:sz w:val="24"/>
          <w:szCs w:val="24"/>
          <w:lang w:val="en-US"/>
        </w:rPr>
      </w:pPr>
      <w:r w:rsidRPr="005C768B">
        <w:rPr>
          <w:rFonts w:ascii="Times New Roman" w:hAnsi="Times New Roman"/>
          <w:sz w:val="24"/>
          <w:szCs w:val="24"/>
          <w:lang w:val="en-US"/>
        </w:rPr>
        <w:t xml:space="preserve">The mixing performances of T, Y and arrow-shaped micromixers have been characterized by Villermaux-Dushman protocol at low Re. Based on UV absorbance, experimental and predicted mixing times; comparison of mixing performance of the micromixers was made at various Re. </w:t>
      </w:r>
      <w:r w:rsidR="00026B17">
        <w:rPr>
          <w:rFonts w:ascii="Times New Roman" w:hAnsi="Times New Roman"/>
          <w:sz w:val="24"/>
          <w:szCs w:val="24"/>
          <w:lang w:val="en-US"/>
        </w:rPr>
        <w:t>F</w:t>
      </w:r>
      <w:r w:rsidR="00026B17">
        <w:rPr>
          <w:rFonts w:ascii="Times New Roman" w:hAnsi="Times New Roman"/>
          <w:sz w:val="24"/>
          <w:szCs w:val="24"/>
          <w:lang w:val="en-US"/>
        </w:rPr>
        <w:t>acile solvent extraction test</w:t>
      </w:r>
      <w:r w:rsidR="00026B17">
        <w:rPr>
          <w:rFonts w:ascii="Times New Roman" w:hAnsi="Times New Roman"/>
          <w:sz w:val="24"/>
          <w:szCs w:val="24"/>
          <w:lang w:val="en-US"/>
        </w:rPr>
        <w:t xml:space="preserve"> was performed for result verification. </w:t>
      </w:r>
      <w:r w:rsidRPr="005C768B">
        <w:rPr>
          <w:rFonts w:ascii="Times New Roman" w:hAnsi="Times New Roman"/>
          <w:sz w:val="24"/>
          <w:szCs w:val="24"/>
          <w:lang w:val="en-US"/>
        </w:rPr>
        <w:t xml:space="preserve">From the results of this study, it can be concluded that arrow-shaped confluence offers the best mixing performance, while Y-shape offers the least of the three confluence shapes at Re &gt; 30. Villermaux-Dushman protocol </w:t>
      </w:r>
      <w:r w:rsidR="00026B17">
        <w:rPr>
          <w:rFonts w:ascii="Times New Roman" w:hAnsi="Times New Roman"/>
          <w:sz w:val="24"/>
          <w:szCs w:val="24"/>
          <w:lang w:val="en-US"/>
        </w:rPr>
        <w:t xml:space="preserve">is not adequate </w:t>
      </w:r>
      <w:r w:rsidRPr="005C768B">
        <w:rPr>
          <w:rFonts w:ascii="Times New Roman" w:hAnsi="Times New Roman"/>
          <w:sz w:val="24"/>
          <w:szCs w:val="24"/>
          <w:lang w:val="en-US"/>
        </w:rPr>
        <w:t>at lower Re. Increase in Re within the range 30 &lt; Re &lt; 100, leads to improvement in mixing performance. Mixing performance is more sensitive to changes in Re at low Re values. Improvement in mixing performance due to: shape of confluence or increase in Re value occurs at the cost of fluid energy per unit time (power).</w:t>
      </w:r>
    </w:p>
    <w:p w:rsidR="005C768B" w:rsidRDefault="005C768B" w:rsidP="005C768B">
      <w:pPr>
        <w:spacing w:line="360" w:lineRule="auto"/>
        <w:rPr>
          <w:rFonts w:ascii="Times New Roman" w:hAnsi="Times New Roman"/>
          <w:sz w:val="24"/>
          <w:szCs w:val="24"/>
          <w:lang w:val="en-US"/>
        </w:rPr>
      </w:pPr>
      <w:r w:rsidRPr="005C768B">
        <w:rPr>
          <w:rFonts w:ascii="Times New Roman" w:hAnsi="Times New Roman"/>
          <w:sz w:val="24"/>
          <w:szCs w:val="24"/>
          <w:lang w:val="en-US"/>
        </w:rPr>
        <w:t>A more reliable mixing performance characterization method should be used to verify the inadequacy of Villermaux-Dushman protocol at very low Re. Finally, in order to reduce the effect of time lag, on-line (in-situ) absorbance measurement should be adopted</w:t>
      </w:r>
      <w:r w:rsidR="007141D6">
        <w:rPr>
          <w:rFonts w:ascii="Times New Roman" w:hAnsi="Times New Roman"/>
          <w:sz w:val="24"/>
          <w:szCs w:val="24"/>
          <w:lang w:val="en-US"/>
        </w:rPr>
        <w:t>.</w:t>
      </w:r>
    </w:p>
    <w:p w:rsidR="005C768B" w:rsidRPr="005C768B" w:rsidRDefault="005C768B" w:rsidP="005C768B">
      <w:pPr>
        <w:spacing w:after="0" w:line="360" w:lineRule="auto"/>
        <w:jc w:val="center"/>
        <w:rPr>
          <w:rFonts w:ascii="Times New Roman" w:hAnsi="Times New Roman"/>
          <w:sz w:val="24"/>
          <w:szCs w:val="24"/>
          <w:lang w:val="en-US"/>
        </w:rPr>
      </w:pPr>
      <w:r w:rsidRPr="005C768B">
        <w:rPr>
          <w:rFonts w:ascii="Times New Roman" w:hAnsi="Times New Roman"/>
          <w:sz w:val="24"/>
          <w:szCs w:val="24"/>
          <w:lang w:val="en-US"/>
        </w:rPr>
        <w:t>NOMENCLATURE</w:t>
      </w:r>
    </w:p>
    <w:p w:rsidR="005C768B" w:rsidRPr="005C768B" w:rsidRDefault="005C768B" w:rsidP="005C768B">
      <w:pPr>
        <w:spacing w:after="0" w:line="360" w:lineRule="auto"/>
        <w:rPr>
          <w:rFonts w:ascii="Times New Roman" w:hAnsi="Times New Roman"/>
          <w:sz w:val="24"/>
          <w:szCs w:val="24"/>
          <w:lang w:val="en-US"/>
        </w:rPr>
      </w:pPr>
      <w:r w:rsidRPr="005C768B">
        <w:rPr>
          <w:rFonts w:ascii="Times New Roman" w:hAnsi="Times New Roman"/>
          <w:sz w:val="24"/>
          <w:szCs w:val="24"/>
          <w:lang w:val="en-US"/>
        </w:rPr>
        <w:t>Re</w:t>
      </w:r>
      <w:r w:rsidRPr="005C768B">
        <w:rPr>
          <w:rFonts w:ascii="Times New Roman" w:hAnsi="Times New Roman"/>
          <w:sz w:val="24"/>
          <w:szCs w:val="24"/>
          <w:lang w:val="en-US"/>
        </w:rPr>
        <w:tab/>
        <w:t>Reynolds number</w:t>
      </w:r>
    </w:p>
    <w:p w:rsidR="005C768B" w:rsidRPr="005C768B" w:rsidRDefault="005C768B" w:rsidP="005C768B">
      <w:pPr>
        <w:spacing w:after="0" w:line="360" w:lineRule="auto"/>
        <w:rPr>
          <w:rFonts w:ascii="Times New Roman" w:hAnsi="Times New Roman"/>
          <w:sz w:val="24"/>
          <w:szCs w:val="24"/>
          <w:lang w:val="en-US"/>
        </w:rPr>
      </w:pPr>
      <w:r w:rsidRPr="005C768B">
        <w:rPr>
          <w:rFonts w:ascii="Times New Roman" w:hAnsi="Times New Roman"/>
          <w:sz w:val="24"/>
          <w:szCs w:val="24"/>
          <w:lang w:val="en-US"/>
        </w:rPr>
        <w:t>Ar</w:t>
      </w:r>
      <w:r w:rsidRPr="005C768B">
        <w:rPr>
          <w:rFonts w:ascii="Times New Roman" w:hAnsi="Times New Roman"/>
          <w:sz w:val="24"/>
          <w:szCs w:val="24"/>
          <w:lang w:val="en-US"/>
        </w:rPr>
        <w:tab/>
        <w:t>Arrow (micromixer)</w:t>
      </w:r>
    </w:p>
    <w:p w:rsidR="005C768B" w:rsidRPr="005C768B" w:rsidRDefault="005C768B" w:rsidP="005C768B">
      <w:pPr>
        <w:spacing w:after="0" w:line="360" w:lineRule="auto"/>
        <w:rPr>
          <w:rFonts w:ascii="Times New Roman" w:eastAsia="Times New Roman" w:hAnsi="Times New Roman"/>
          <w:sz w:val="24"/>
          <w:szCs w:val="24"/>
          <w:lang w:val="en-US"/>
        </w:rPr>
      </w:pPr>
      <m:oMath>
        <m:r>
          <m:rPr>
            <m:sty m:val="p"/>
          </m:rPr>
          <w:rPr>
            <w:rFonts w:ascii="Cambria Math" w:hAnsi="Cambria Math"/>
            <w:sz w:val="24"/>
            <w:szCs w:val="24"/>
            <w:lang w:val="en-US"/>
          </w:rPr>
          <m:t>ρ</m:t>
        </m:r>
      </m:oMath>
      <w:r w:rsidRPr="005C768B">
        <w:rPr>
          <w:rFonts w:ascii="Times New Roman" w:eastAsia="Times New Roman" w:hAnsi="Times New Roman"/>
          <w:sz w:val="24"/>
          <w:szCs w:val="24"/>
          <w:lang w:val="en-US"/>
        </w:rPr>
        <w:t xml:space="preserve">  </w:t>
      </w:r>
      <w:r w:rsidRPr="005C768B">
        <w:rPr>
          <w:rFonts w:ascii="Times New Roman" w:eastAsia="Times New Roman" w:hAnsi="Times New Roman"/>
          <w:sz w:val="24"/>
          <w:szCs w:val="24"/>
          <w:lang w:val="en-US"/>
        </w:rPr>
        <w:tab/>
        <w:t>density of fluid</w:t>
      </w:r>
      <w:r w:rsidR="00A31402">
        <w:rPr>
          <w:rFonts w:ascii="Times New Roman" w:eastAsia="Times New Roman" w:hAnsi="Times New Roman"/>
          <w:sz w:val="24"/>
          <w:szCs w:val="24"/>
          <w:lang w:val="en-US"/>
        </w:rPr>
        <w:t xml:space="preserve">, </w:t>
      </w:r>
      <w:r w:rsidRPr="005C768B">
        <w:rPr>
          <w:rFonts w:ascii="Times New Roman" w:eastAsia="Times New Roman" w:hAnsi="Times New Roman"/>
          <w:sz w:val="24"/>
          <w:szCs w:val="24"/>
          <w:lang w:val="en-US"/>
        </w:rPr>
        <w:t>kg</w:t>
      </w:r>
      <w:r w:rsidR="00A31402">
        <w:rPr>
          <w:rFonts w:ascii="Times New Roman" w:eastAsia="Times New Roman" w:hAnsi="Times New Roman"/>
          <w:sz w:val="24"/>
          <w:szCs w:val="24"/>
          <w:lang w:val="en-US"/>
        </w:rPr>
        <w:t xml:space="preserve"> </w:t>
      </w:r>
      <w:r w:rsidRPr="005C768B">
        <w:rPr>
          <w:rFonts w:ascii="Times New Roman" w:eastAsia="Times New Roman" w:hAnsi="Times New Roman"/>
          <w:sz w:val="24"/>
          <w:szCs w:val="24"/>
          <w:lang w:val="en-US"/>
        </w:rPr>
        <w:t>m</w:t>
      </w:r>
      <w:r w:rsidR="00A31402">
        <w:rPr>
          <w:rFonts w:ascii="Times New Roman" w:eastAsia="Times New Roman" w:hAnsi="Times New Roman"/>
          <w:sz w:val="24"/>
          <w:szCs w:val="24"/>
          <w:vertAlign w:val="superscript"/>
          <w:lang w:val="en-US"/>
        </w:rPr>
        <w:t>-3</w:t>
      </w:r>
    </w:p>
    <w:p w:rsidR="005C768B" w:rsidRPr="005C768B" w:rsidRDefault="005C768B" w:rsidP="005C768B">
      <w:pPr>
        <w:spacing w:after="0" w:line="360" w:lineRule="auto"/>
        <w:rPr>
          <w:rFonts w:ascii="Times New Roman" w:eastAsia="Times New Roman" w:hAnsi="Times New Roman"/>
          <w:sz w:val="24"/>
          <w:szCs w:val="24"/>
          <w:lang w:val="en-US"/>
        </w:rPr>
      </w:pPr>
      <m:oMath>
        <m:r>
          <m:rPr>
            <m:sty m:val="p"/>
          </m:rPr>
          <w:rPr>
            <w:rFonts w:ascii="Cambria Math" w:hAnsi="Cambria Math"/>
            <w:sz w:val="24"/>
            <w:szCs w:val="24"/>
            <w:lang w:val="en-US"/>
          </w:rPr>
          <m:t>μ</m:t>
        </m:r>
      </m:oMath>
      <w:r w:rsidRPr="005C768B">
        <w:rPr>
          <w:rFonts w:ascii="Times New Roman" w:hAnsi="Times New Roman"/>
          <w:sz w:val="24"/>
          <w:szCs w:val="24"/>
          <w:lang w:val="en-US"/>
        </w:rPr>
        <w:t xml:space="preserve">   </w:t>
      </w:r>
      <w:r w:rsidRPr="005C768B">
        <w:rPr>
          <w:rFonts w:ascii="Times New Roman" w:hAnsi="Times New Roman"/>
          <w:sz w:val="24"/>
          <w:szCs w:val="24"/>
          <w:lang w:val="en-US"/>
        </w:rPr>
        <w:tab/>
      </w:r>
      <w:r w:rsidRPr="005C768B">
        <w:rPr>
          <w:rFonts w:ascii="Times New Roman" w:eastAsia="Times New Roman" w:hAnsi="Times New Roman"/>
          <w:sz w:val="24"/>
          <w:szCs w:val="24"/>
          <w:lang w:val="en-US"/>
        </w:rPr>
        <w:t>dynamic viscosity of fluid</w:t>
      </w:r>
      <w:r w:rsidR="00A31402">
        <w:rPr>
          <w:rFonts w:ascii="Times New Roman" w:eastAsia="Times New Roman" w:hAnsi="Times New Roman"/>
          <w:sz w:val="24"/>
          <w:szCs w:val="24"/>
          <w:lang w:val="en-US"/>
        </w:rPr>
        <w:t xml:space="preserve">, </w:t>
      </w:r>
      <w:r w:rsidRPr="005C768B">
        <w:rPr>
          <w:rFonts w:ascii="Times New Roman" w:eastAsia="Times New Roman" w:hAnsi="Times New Roman"/>
          <w:sz w:val="24"/>
          <w:szCs w:val="24"/>
          <w:lang w:val="en-US"/>
        </w:rPr>
        <w:t>kg</w:t>
      </w:r>
      <w:r w:rsidR="00A31402">
        <w:rPr>
          <w:rFonts w:ascii="Times New Roman" w:eastAsia="Times New Roman" w:hAnsi="Times New Roman"/>
          <w:sz w:val="24"/>
          <w:szCs w:val="24"/>
          <w:lang w:val="en-US"/>
        </w:rPr>
        <w:t xml:space="preserve"> </w:t>
      </w:r>
      <w:r w:rsidRPr="005C768B">
        <w:rPr>
          <w:rFonts w:ascii="Times New Roman" w:eastAsia="Times New Roman" w:hAnsi="Times New Roman"/>
          <w:sz w:val="24"/>
          <w:szCs w:val="24"/>
          <w:lang w:val="en-US"/>
        </w:rPr>
        <w:t>m</w:t>
      </w:r>
      <w:r w:rsidR="00A31402" w:rsidRPr="00A31402">
        <w:rPr>
          <w:rFonts w:ascii="Times New Roman" w:eastAsia="Times New Roman" w:hAnsi="Times New Roman"/>
          <w:sz w:val="24"/>
          <w:szCs w:val="24"/>
          <w:vertAlign w:val="superscript"/>
          <w:lang w:val="en-US"/>
        </w:rPr>
        <w:t>-1</w:t>
      </w:r>
      <w:r w:rsidR="00A31402">
        <w:rPr>
          <w:rFonts w:ascii="Times New Roman" w:eastAsia="Times New Roman" w:hAnsi="Times New Roman"/>
          <w:sz w:val="24"/>
          <w:szCs w:val="24"/>
          <w:lang w:val="en-US"/>
        </w:rPr>
        <w:t xml:space="preserve"> </w:t>
      </w:r>
      <w:r w:rsidRPr="005C768B">
        <w:rPr>
          <w:rFonts w:ascii="Times New Roman" w:eastAsia="Times New Roman" w:hAnsi="Times New Roman"/>
          <w:sz w:val="24"/>
          <w:szCs w:val="24"/>
          <w:lang w:val="en-US"/>
        </w:rPr>
        <w:t>s</w:t>
      </w:r>
      <w:r w:rsidR="00A31402" w:rsidRPr="00A31402">
        <w:rPr>
          <w:rFonts w:ascii="Times New Roman" w:eastAsia="Times New Roman" w:hAnsi="Times New Roman"/>
          <w:sz w:val="24"/>
          <w:szCs w:val="24"/>
          <w:vertAlign w:val="superscript"/>
          <w:lang w:val="en-US"/>
        </w:rPr>
        <w:t>-1</w:t>
      </w:r>
    </w:p>
    <w:p w:rsidR="005C768B" w:rsidRPr="005C768B" w:rsidRDefault="005C768B" w:rsidP="005C768B">
      <w:pPr>
        <w:spacing w:after="0" w:line="360" w:lineRule="auto"/>
        <w:rPr>
          <w:rFonts w:ascii="Times New Roman" w:eastAsia="Times New Roman" w:hAnsi="Times New Roman"/>
          <w:sz w:val="24"/>
          <w:szCs w:val="24"/>
          <w:lang w:val="en-US"/>
        </w:rPr>
      </w:pPr>
      <w:r w:rsidRPr="005C768B">
        <w:rPr>
          <w:rFonts w:ascii="Times New Roman" w:eastAsia="Times New Roman" w:hAnsi="Times New Roman"/>
          <w:sz w:val="24"/>
          <w:szCs w:val="24"/>
          <w:lang w:val="en-US"/>
        </w:rPr>
        <w:t>u</w:t>
      </w:r>
      <w:r w:rsidRPr="005C768B">
        <w:rPr>
          <w:rFonts w:ascii="Times New Roman" w:eastAsia="Times New Roman" w:hAnsi="Times New Roman"/>
          <w:sz w:val="24"/>
          <w:szCs w:val="24"/>
          <w:lang w:val="en-US"/>
        </w:rPr>
        <w:tab/>
        <w:t>flow velocity of fluid stream</w:t>
      </w:r>
      <w:r w:rsidR="00A31402">
        <w:rPr>
          <w:rFonts w:ascii="Times New Roman" w:eastAsia="Times New Roman" w:hAnsi="Times New Roman"/>
          <w:sz w:val="24"/>
          <w:szCs w:val="24"/>
          <w:lang w:val="en-US"/>
        </w:rPr>
        <w:t xml:space="preserve">, </w:t>
      </w:r>
      <w:r w:rsidRPr="005C768B">
        <w:rPr>
          <w:rFonts w:ascii="Times New Roman" w:eastAsia="Times New Roman" w:hAnsi="Times New Roman"/>
          <w:sz w:val="24"/>
          <w:szCs w:val="24"/>
          <w:lang w:val="en-US"/>
        </w:rPr>
        <w:t>m</w:t>
      </w:r>
      <w:r w:rsidR="00A31402">
        <w:rPr>
          <w:rFonts w:ascii="Times New Roman" w:eastAsia="Times New Roman" w:hAnsi="Times New Roman"/>
          <w:sz w:val="24"/>
          <w:szCs w:val="24"/>
          <w:lang w:val="en-US"/>
        </w:rPr>
        <w:t xml:space="preserve"> </w:t>
      </w:r>
      <w:r w:rsidRPr="005C768B">
        <w:rPr>
          <w:rFonts w:ascii="Times New Roman" w:eastAsia="Times New Roman" w:hAnsi="Times New Roman"/>
          <w:sz w:val="24"/>
          <w:szCs w:val="24"/>
          <w:lang w:val="en-US"/>
        </w:rPr>
        <w:t>s</w:t>
      </w:r>
      <w:r w:rsidR="00A31402" w:rsidRPr="00A31402">
        <w:rPr>
          <w:rFonts w:ascii="Times New Roman" w:eastAsia="Times New Roman" w:hAnsi="Times New Roman"/>
          <w:sz w:val="24"/>
          <w:szCs w:val="24"/>
          <w:vertAlign w:val="superscript"/>
          <w:lang w:val="en-US"/>
        </w:rPr>
        <w:t>-1</w:t>
      </w:r>
    </w:p>
    <w:p w:rsidR="005C768B" w:rsidRPr="005C768B" w:rsidRDefault="005C768B" w:rsidP="005C768B">
      <w:pPr>
        <w:spacing w:after="0" w:line="360" w:lineRule="auto"/>
        <w:rPr>
          <w:rFonts w:ascii="Times New Roman" w:eastAsia="Times New Roman" w:hAnsi="Times New Roman"/>
          <w:sz w:val="24"/>
          <w:szCs w:val="24"/>
          <w:lang w:val="en-US"/>
        </w:rPr>
      </w:pPr>
      <w:r w:rsidRPr="005C768B">
        <w:rPr>
          <w:rFonts w:ascii="Times New Roman" w:eastAsia="Times New Roman" w:hAnsi="Times New Roman"/>
          <w:sz w:val="24"/>
          <w:szCs w:val="24"/>
          <w:lang w:val="en-US"/>
        </w:rPr>
        <w:t>d</w:t>
      </w:r>
      <w:r w:rsidRPr="005C768B">
        <w:rPr>
          <w:rFonts w:ascii="Times New Roman" w:eastAsia="Times New Roman" w:hAnsi="Times New Roman"/>
          <w:sz w:val="24"/>
          <w:szCs w:val="24"/>
          <w:lang w:val="en-US"/>
        </w:rPr>
        <w:tab/>
        <w:t>characteristic diameter of flow channel</w:t>
      </w:r>
      <w:r w:rsidR="00A31402">
        <w:rPr>
          <w:rFonts w:ascii="Times New Roman" w:eastAsia="Times New Roman" w:hAnsi="Times New Roman"/>
          <w:sz w:val="24"/>
          <w:szCs w:val="24"/>
          <w:lang w:val="en-US"/>
        </w:rPr>
        <w:t>,</w:t>
      </w:r>
      <w:r w:rsidRPr="005C768B">
        <w:rPr>
          <w:rFonts w:ascii="Times New Roman" w:eastAsia="Times New Roman" w:hAnsi="Times New Roman"/>
          <w:sz w:val="24"/>
          <w:szCs w:val="24"/>
          <w:lang w:val="en-US"/>
        </w:rPr>
        <w:t xml:space="preserve"> m</w:t>
      </w:r>
    </w:p>
    <w:p w:rsidR="005C768B" w:rsidRPr="005C768B" w:rsidRDefault="005C768B" w:rsidP="005C768B">
      <w:pPr>
        <w:spacing w:after="0" w:line="360" w:lineRule="auto"/>
        <w:rPr>
          <w:rFonts w:ascii="Times New Roman" w:eastAsia="Times New Roman" w:hAnsi="Times New Roman"/>
          <w:sz w:val="24"/>
          <w:szCs w:val="24"/>
          <w:lang w:val="en-US"/>
        </w:rPr>
      </w:pPr>
      <w:r w:rsidRPr="005C768B">
        <w:rPr>
          <w:rFonts w:ascii="Times New Roman" w:eastAsia="Times New Roman" w:hAnsi="Times New Roman"/>
          <w:sz w:val="24"/>
          <w:szCs w:val="24"/>
          <w:lang w:val="en-US"/>
        </w:rPr>
        <w:t>UV</w:t>
      </w:r>
      <w:r w:rsidRPr="005C768B">
        <w:rPr>
          <w:rFonts w:ascii="Times New Roman" w:eastAsia="Times New Roman" w:hAnsi="Times New Roman"/>
          <w:sz w:val="24"/>
          <w:szCs w:val="24"/>
          <w:lang w:val="en-US"/>
        </w:rPr>
        <w:tab/>
        <w:t>ultraviolet</w:t>
      </w:r>
    </w:p>
    <w:p w:rsidR="005C768B" w:rsidRPr="005C768B" w:rsidRDefault="005C768B" w:rsidP="005C768B">
      <w:pPr>
        <w:spacing w:after="0" w:line="360" w:lineRule="auto"/>
        <w:rPr>
          <w:rFonts w:ascii="Times New Roman" w:eastAsia="Times New Roman" w:hAnsi="Times New Roman"/>
          <w:sz w:val="24"/>
          <w:szCs w:val="24"/>
          <w:lang w:val="en-US"/>
        </w:rPr>
      </w:pPr>
      <w:r w:rsidRPr="005C768B">
        <w:rPr>
          <w:rFonts w:ascii="Times New Roman" w:eastAsia="Times New Roman" w:hAnsi="Times New Roman"/>
          <w:sz w:val="24"/>
          <w:szCs w:val="24"/>
          <w:lang w:val="en-US"/>
        </w:rPr>
        <w:t xml:space="preserve">OD </w:t>
      </w:r>
      <w:r w:rsidRPr="005C768B">
        <w:rPr>
          <w:rFonts w:ascii="Times New Roman" w:eastAsia="Times New Roman" w:hAnsi="Times New Roman"/>
          <w:sz w:val="24"/>
          <w:szCs w:val="24"/>
          <w:lang w:val="en-US"/>
        </w:rPr>
        <w:tab/>
        <w:t>optical density or mixed sample absorbance</w:t>
      </w:r>
    </w:p>
    <w:p w:rsidR="005C768B" w:rsidRPr="005C768B" w:rsidRDefault="005C768B" w:rsidP="005C768B">
      <w:pPr>
        <w:spacing w:after="0" w:line="360" w:lineRule="auto"/>
        <w:rPr>
          <w:rFonts w:ascii="Times New Roman" w:eastAsia="Times New Roman" w:hAnsi="Times New Roman"/>
          <w:sz w:val="24"/>
          <w:szCs w:val="24"/>
          <w:lang w:val="en-US"/>
        </w:rPr>
      </w:pPr>
      <w:r>
        <w:rPr>
          <w:rFonts w:ascii="Times New Roman" w:eastAsia="Times New Roman" w:hAnsi="Times New Roman"/>
          <w:sz w:val="24"/>
          <w:szCs w:val="24"/>
          <w:lang w:val="en-US"/>
        </w:rPr>
        <w:t>[i]</w:t>
      </w:r>
      <w:r w:rsidRPr="005C768B">
        <w:rPr>
          <w:rFonts w:ascii="Times New Roman" w:eastAsia="Times New Roman" w:hAnsi="Times New Roman"/>
          <w:sz w:val="24"/>
          <w:szCs w:val="24"/>
          <w:vertAlign w:val="subscript"/>
          <w:lang w:val="en-US"/>
        </w:rPr>
        <w:t>0</w:t>
      </w:r>
      <w:r w:rsidRPr="005C768B">
        <w:rPr>
          <w:rFonts w:ascii="Times New Roman" w:eastAsia="Times New Roman" w:hAnsi="Times New Roman"/>
          <w:sz w:val="24"/>
          <w:szCs w:val="24"/>
          <w:lang w:val="en-US"/>
        </w:rPr>
        <w:tab/>
      </w:r>
      <w:r w:rsidRPr="005C768B">
        <w:rPr>
          <w:rFonts w:ascii="Times New Roman" w:hAnsi="Times New Roman"/>
          <w:sz w:val="24"/>
          <w:szCs w:val="24"/>
          <w:lang w:val="en-US"/>
        </w:rPr>
        <w:t>initial molar concentration of chemical species ‘i’</w:t>
      </w:r>
      <w:r w:rsidR="00A31402">
        <w:rPr>
          <w:rFonts w:ascii="Times New Roman" w:hAnsi="Times New Roman"/>
          <w:sz w:val="24"/>
          <w:szCs w:val="24"/>
          <w:lang w:val="en-US"/>
        </w:rPr>
        <w:t>,</w:t>
      </w:r>
      <w:r w:rsidRPr="005C768B">
        <w:rPr>
          <w:rFonts w:ascii="Times New Roman" w:hAnsi="Times New Roman"/>
          <w:sz w:val="24"/>
          <w:szCs w:val="24"/>
          <w:lang w:val="en-US"/>
        </w:rPr>
        <w:t xml:space="preserve"> mol</w:t>
      </w:r>
      <w:r w:rsidR="00A31402">
        <w:rPr>
          <w:rFonts w:ascii="Times New Roman" w:hAnsi="Times New Roman"/>
          <w:sz w:val="24"/>
          <w:szCs w:val="24"/>
          <w:lang w:val="en-US"/>
        </w:rPr>
        <w:t xml:space="preserve"> </w:t>
      </w:r>
      <w:r w:rsidRPr="005C768B">
        <w:rPr>
          <w:rFonts w:ascii="Times New Roman" w:hAnsi="Times New Roman"/>
          <w:sz w:val="24"/>
          <w:szCs w:val="24"/>
          <w:lang w:val="en-US"/>
        </w:rPr>
        <w:t>L</w:t>
      </w:r>
      <w:r w:rsidR="00A31402" w:rsidRPr="00A31402">
        <w:rPr>
          <w:rFonts w:ascii="Times New Roman" w:hAnsi="Times New Roman"/>
          <w:sz w:val="24"/>
          <w:szCs w:val="24"/>
          <w:vertAlign w:val="superscript"/>
          <w:lang w:val="en-US"/>
        </w:rPr>
        <w:t>-1</w:t>
      </w:r>
    </w:p>
    <w:p w:rsidR="005C768B" w:rsidRPr="005C768B" w:rsidRDefault="005C768B" w:rsidP="005C768B">
      <w:pPr>
        <w:spacing w:after="0" w:line="360" w:lineRule="auto"/>
        <w:rPr>
          <w:rFonts w:ascii="Times New Roman" w:hAnsi="Times New Roman"/>
          <w:sz w:val="24"/>
          <w:szCs w:val="24"/>
          <w:lang w:val="en-US"/>
        </w:rPr>
      </w:pPr>
      <w:r w:rsidRPr="005C768B">
        <w:rPr>
          <w:rFonts w:ascii="Times New Roman" w:hAnsi="Times New Roman"/>
          <w:sz w:val="24"/>
          <w:szCs w:val="24"/>
          <w:lang w:val="en-US"/>
        </w:rPr>
        <w:t xml:space="preserve">Ɛ </w:t>
      </w:r>
      <w:r w:rsidRPr="005C768B">
        <w:rPr>
          <w:rFonts w:ascii="Times New Roman" w:hAnsi="Times New Roman"/>
          <w:sz w:val="24"/>
          <w:szCs w:val="24"/>
          <w:lang w:val="en-US"/>
        </w:rPr>
        <w:tab/>
        <w:t>specific power dissipation or specific rate of energy dissipation</w:t>
      </w:r>
      <w:r w:rsidR="00A31402">
        <w:rPr>
          <w:rFonts w:ascii="Times New Roman" w:hAnsi="Times New Roman"/>
          <w:sz w:val="24"/>
          <w:szCs w:val="24"/>
          <w:lang w:val="en-US"/>
        </w:rPr>
        <w:t xml:space="preserve">, </w:t>
      </w:r>
      <w:r w:rsidRPr="005C768B">
        <w:rPr>
          <w:rFonts w:ascii="Times New Roman" w:hAnsi="Times New Roman"/>
          <w:sz w:val="24"/>
          <w:szCs w:val="24"/>
          <w:lang w:val="en-US"/>
        </w:rPr>
        <w:t>W</w:t>
      </w:r>
      <w:r w:rsidR="00A31402">
        <w:rPr>
          <w:rFonts w:ascii="Times New Roman" w:hAnsi="Times New Roman"/>
          <w:sz w:val="24"/>
          <w:szCs w:val="24"/>
          <w:lang w:val="en-US"/>
        </w:rPr>
        <w:t xml:space="preserve"> </w:t>
      </w:r>
      <w:r w:rsidRPr="005C768B">
        <w:rPr>
          <w:rFonts w:ascii="Times New Roman" w:hAnsi="Times New Roman"/>
          <w:sz w:val="24"/>
          <w:szCs w:val="24"/>
          <w:lang w:val="en-US"/>
        </w:rPr>
        <w:t>kg</w:t>
      </w:r>
      <w:r w:rsidR="00A31402" w:rsidRPr="00A31402">
        <w:rPr>
          <w:rFonts w:ascii="Times New Roman" w:hAnsi="Times New Roman"/>
          <w:sz w:val="24"/>
          <w:szCs w:val="24"/>
          <w:vertAlign w:val="superscript"/>
          <w:lang w:val="en-US"/>
        </w:rPr>
        <w:t>-1</w:t>
      </w:r>
      <w:r w:rsidRPr="005C768B">
        <w:rPr>
          <w:rFonts w:ascii="Times New Roman" w:hAnsi="Times New Roman"/>
          <w:sz w:val="24"/>
          <w:szCs w:val="24"/>
          <w:lang w:val="en-US"/>
        </w:rPr>
        <w:t xml:space="preserve"> or J</w:t>
      </w:r>
      <w:r w:rsidR="00A31402">
        <w:rPr>
          <w:rFonts w:ascii="Times New Roman" w:hAnsi="Times New Roman"/>
          <w:sz w:val="24"/>
          <w:szCs w:val="24"/>
          <w:lang w:val="en-US"/>
        </w:rPr>
        <w:t xml:space="preserve"> </w:t>
      </w:r>
      <w:r w:rsidRPr="005C768B">
        <w:rPr>
          <w:rFonts w:ascii="Times New Roman" w:hAnsi="Times New Roman"/>
          <w:sz w:val="24"/>
          <w:szCs w:val="24"/>
          <w:lang w:val="en-US"/>
        </w:rPr>
        <w:t>kg</w:t>
      </w:r>
      <w:r w:rsidR="00A31402" w:rsidRPr="00A31402">
        <w:rPr>
          <w:rFonts w:ascii="Times New Roman" w:hAnsi="Times New Roman"/>
          <w:sz w:val="24"/>
          <w:szCs w:val="24"/>
          <w:vertAlign w:val="superscript"/>
          <w:lang w:val="en-US"/>
        </w:rPr>
        <w:t>-1</w:t>
      </w:r>
      <w:r w:rsidR="00A31402">
        <w:rPr>
          <w:rFonts w:ascii="Times New Roman" w:hAnsi="Times New Roman"/>
          <w:sz w:val="24"/>
          <w:szCs w:val="24"/>
          <w:lang w:val="en-US"/>
        </w:rPr>
        <w:t xml:space="preserve"> </w:t>
      </w:r>
      <w:r w:rsidRPr="005C768B">
        <w:rPr>
          <w:rFonts w:ascii="Times New Roman" w:hAnsi="Times New Roman"/>
          <w:sz w:val="24"/>
          <w:szCs w:val="24"/>
          <w:lang w:val="en-US"/>
        </w:rPr>
        <w:t>s</w:t>
      </w:r>
      <w:r w:rsidR="00A31402" w:rsidRPr="00A31402">
        <w:rPr>
          <w:rFonts w:ascii="Times New Roman" w:hAnsi="Times New Roman"/>
          <w:sz w:val="24"/>
          <w:szCs w:val="24"/>
          <w:vertAlign w:val="superscript"/>
          <w:lang w:val="en-US"/>
        </w:rPr>
        <w:t>-1</w:t>
      </w:r>
      <w:r w:rsidRPr="005C768B">
        <w:rPr>
          <w:rFonts w:ascii="Times New Roman" w:hAnsi="Times New Roman"/>
          <w:sz w:val="24"/>
          <w:szCs w:val="24"/>
          <w:lang w:val="en-US"/>
        </w:rPr>
        <w:t xml:space="preserve"> </w:t>
      </w:r>
    </w:p>
    <w:p w:rsidR="005C768B" w:rsidRPr="005C768B" w:rsidRDefault="005C768B" w:rsidP="005C768B">
      <w:pPr>
        <w:spacing w:after="0" w:line="360" w:lineRule="auto"/>
        <w:rPr>
          <w:rFonts w:ascii="Times New Roman" w:hAnsi="Times New Roman"/>
          <w:sz w:val="24"/>
          <w:szCs w:val="24"/>
          <w:lang w:val="en-US"/>
        </w:rPr>
      </w:pPr>
      <w:r w:rsidRPr="005C768B">
        <w:rPr>
          <w:rFonts w:ascii="Times New Roman" w:hAnsi="Times New Roman"/>
          <w:sz w:val="24"/>
          <w:szCs w:val="24"/>
          <w:lang w:val="en-US"/>
        </w:rPr>
        <w:t>Q</w:t>
      </w:r>
      <w:r w:rsidRPr="005C768B">
        <w:rPr>
          <w:rFonts w:ascii="Times New Roman" w:hAnsi="Times New Roman"/>
          <w:sz w:val="24"/>
          <w:szCs w:val="24"/>
          <w:lang w:val="en-US"/>
        </w:rPr>
        <w:tab/>
        <w:t>volumetric flow rate</w:t>
      </w:r>
      <w:r w:rsidR="00A31402">
        <w:rPr>
          <w:rFonts w:ascii="Times New Roman" w:hAnsi="Times New Roman"/>
          <w:sz w:val="24"/>
          <w:szCs w:val="24"/>
          <w:lang w:val="en-US"/>
        </w:rPr>
        <w:t>,</w:t>
      </w:r>
      <w:r w:rsidRPr="005C768B">
        <w:rPr>
          <w:rFonts w:ascii="Times New Roman" w:hAnsi="Times New Roman"/>
          <w:sz w:val="24"/>
          <w:szCs w:val="24"/>
          <w:lang w:val="en-US"/>
        </w:rPr>
        <w:t xml:space="preserve"> mL</w:t>
      </w:r>
      <w:r w:rsidR="00A31402">
        <w:rPr>
          <w:rFonts w:ascii="Times New Roman" w:hAnsi="Times New Roman"/>
          <w:sz w:val="24"/>
          <w:szCs w:val="24"/>
          <w:lang w:val="en-US"/>
        </w:rPr>
        <w:t xml:space="preserve"> </w:t>
      </w:r>
      <w:r w:rsidRPr="005C768B">
        <w:rPr>
          <w:rFonts w:ascii="Times New Roman" w:hAnsi="Times New Roman"/>
          <w:sz w:val="24"/>
          <w:szCs w:val="24"/>
          <w:lang w:val="en-US"/>
        </w:rPr>
        <w:t>hr</w:t>
      </w:r>
      <w:r w:rsidR="00A31402" w:rsidRPr="00A31402">
        <w:rPr>
          <w:rFonts w:ascii="Times New Roman" w:hAnsi="Times New Roman"/>
          <w:sz w:val="24"/>
          <w:szCs w:val="24"/>
          <w:vertAlign w:val="superscript"/>
          <w:lang w:val="en-US"/>
        </w:rPr>
        <w:t>-1</w:t>
      </w:r>
    </w:p>
    <w:p w:rsidR="005C768B" w:rsidRPr="005C768B" w:rsidRDefault="005C768B" w:rsidP="005C768B">
      <w:pPr>
        <w:spacing w:after="0" w:line="360" w:lineRule="auto"/>
        <w:rPr>
          <w:rFonts w:ascii="Times New Roman" w:eastAsia="Times New Roman" w:hAnsi="Times New Roman"/>
          <w:sz w:val="24"/>
          <w:szCs w:val="24"/>
          <w:lang w:val="en-US"/>
        </w:rPr>
      </w:pPr>
      <m:oMath>
        <m:r>
          <m:rPr>
            <m:sty m:val="p"/>
          </m:rPr>
          <w:rPr>
            <w:rFonts w:ascii="Cambria Math" w:hAnsi="Cambria Math"/>
            <w:sz w:val="24"/>
            <w:szCs w:val="24"/>
            <w:lang w:val="en-US"/>
          </w:rPr>
          <m:t>∆P</m:t>
        </m:r>
      </m:oMath>
      <w:r w:rsidRPr="005C768B">
        <w:rPr>
          <w:rFonts w:ascii="Times New Roman" w:eastAsia="Times New Roman" w:hAnsi="Times New Roman"/>
          <w:sz w:val="24"/>
          <w:szCs w:val="24"/>
          <w:lang w:val="en-US"/>
        </w:rPr>
        <w:t xml:space="preserve">  </w:t>
      </w:r>
      <w:r w:rsidRPr="005C768B">
        <w:rPr>
          <w:rFonts w:ascii="Times New Roman" w:eastAsia="Times New Roman" w:hAnsi="Times New Roman"/>
          <w:sz w:val="24"/>
          <w:szCs w:val="24"/>
          <w:lang w:val="en-US"/>
        </w:rPr>
        <w:tab/>
        <w:t>pressure drop</w:t>
      </w:r>
      <w:r w:rsidR="00A31402">
        <w:rPr>
          <w:rFonts w:ascii="Times New Roman" w:eastAsia="Times New Roman" w:hAnsi="Times New Roman"/>
          <w:sz w:val="24"/>
          <w:szCs w:val="24"/>
          <w:lang w:val="en-US"/>
        </w:rPr>
        <w:t xml:space="preserve">, </w:t>
      </w:r>
      <w:r w:rsidRPr="005C768B">
        <w:rPr>
          <w:rFonts w:ascii="Times New Roman" w:eastAsia="Times New Roman" w:hAnsi="Times New Roman"/>
          <w:sz w:val="24"/>
          <w:szCs w:val="24"/>
          <w:lang w:val="en-US"/>
        </w:rPr>
        <w:t>Pa</w:t>
      </w:r>
    </w:p>
    <w:p w:rsidR="005C768B" w:rsidRPr="005C768B" w:rsidRDefault="005C768B" w:rsidP="005C768B">
      <w:pPr>
        <w:spacing w:after="0" w:line="360" w:lineRule="auto"/>
        <w:rPr>
          <w:rFonts w:ascii="Times New Roman" w:hAnsi="Times New Roman"/>
          <w:sz w:val="24"/>
          <w:szCs w:val="24"/>
          <w:lang w:val="en-US"/>
        </w:rPr>
      </w:pPr>
      <w:r w:rsidRPr="005C768B">
        <w:rPr>
          <w:rFonts w:ascii="Times New Roman" w:hAnsi="Times New Roman"/>
          <w:sz w:val="24"/>
          <w:szCs w:val="24"/>
          <w:lang w:val="en-US"/>
        </w:rPr>
        <w:t xml:space="preserve">V </w:t>
      </w:r>
      <w:r w:rsidRPr="005C768B">
        <w:rPr>
          <w:rFonts w:ascii="Times New Roman" w:hAnsi="Times New Roman"/>
          <w:sz w:val="24"/>
          <w:szCs w:val="24"/>
          <w:lang w:val="en-US"/>
        </w:rPr>
        <w:tab/>
        <w:t>control volume for mixing</w:t>
      </w:r>
      <w:r w:rsidR="00A31402">
        <w:rPr>
          <w:rFonts w:ascii="Times New Roman" w:hAnsi="Times New Roman"/>
          <w:sz w:val="24"/>
          <w:szCs w:val="24"/>
          <w:lang w:val="en-US"/>
        </w:rPr>
        <w:t xml:space="preserve">, </w:t>
      </w:r>
      <w:r w:rsidRPr="005C768B">
        <w:rPr>
          <w:rFonts w:ascii="Times New Roman" w:hAnsi="Times New Roman"/>
          <w:sz w:val="24"/>
          <w:szCs w:val="24"/>
          <w:lang w:val="en-US"/>
        </w:rPr>
        <w:t>m</w:t>
      </w:r>
      <w:r w:rsidRPr="005C768B">
        <w:rPr>
          <w:rFonts w:ascii="Times New Roman" w:hAnsi="Times New Roman"/>
          <w:sz w:val="24"/>
          <w:szCs w:val="24"/>
          <w:vertAlign w:val="superscript"/>
          <w:lang w:val="en-US"/>
        </w:rPr>
        <w:t>3</w:t>
      </w:r>
    </w:p>
    <w:p w:rsidR="005C768B" w:rsidRPr="005C768B" w:rsidRDefault="00CF1A65" w:rsidP="005C768B">
      <w:pPr>
        <w:spacing w:after="0" w:line="360" w:lineRule="auto"/>
        <w:rPr>
          <w:rFonts w:ascii="Times New Roman" w:hAnsi="Times New Roman"/>
          <w:sz w:val="24"/>
          <w:szCs w:val="24"/>
          <w:lang w:val="en-US"/>
        </w:rPr>
      </w:pPr>
      <m:oMath>
        <m:sSub>
          <m:sSubPr>
            <m:ctrlPr>
              <w:rPr>
                <w:rFonts w:ascii="Cambria Math" w:hAnsi="Cambria Math"/>
                <w:i/>
                <w:sz w:val="24"/>
                <w:szCs w:val="24"/>
                <w:lang w:val="en-US"/>
              </w:rPr>
            </m:ctrlPr>
          </m:sSubPr>
          <m:e>
            <m:r>
              <w:rPr>
                <w:rFonts w:ascii="Cambria Math" w:hAnsi="Cambria Math"/>
                <w:sz w:val="24"/>
                <w:szCs w:val="24"/>
                <w:lang w:val="en-US"/>
              </w:rPr>
              <m:t>t</m:t>
            </m:r>
          </m:e>
          <m:sub>
            <m:r>
              <w:rPr>
                <w:rFonts w:ascii="Cambria Math" w:hAnsi="Cambria Math"/>
                <w:sz w:val="24"/>
                <w:szCs w:val="24"/>
                <w:lang w:val="en-US"/>
              </w:rPr>
              <m:t>m</m:t>
            </m:r>
          </m:sub>
        </m:sSub>
      </m:oMath>
      <w:r w:rsidR="005C768B" w:rsidRPr="005C768B">
        <w:rPr>
          <w:rFonts w:ascii="Times New Roman" w:eastAsia="Times New Roman" w:hAnsi="Times New Roman"/>
          <w:sz w:val="24"/>
          <w:szCs w:val="24"/>
          <w:lang w:val="en-US"/>
        </w:rPr>
        <w:t xml:space="preserve"> </w:t>
      </w:r>
      <w:r w:rsidR="005C768B" w:rsidRPr="005C768B">
        <w:rPr>
          <w:rFonts w:ascii="Times New Roman" w:eastAsia="Times New Roman" w:hAnsi="Times New Roman"/>
          <w:sz w:val="24"/>
          <w:szCs w:val="24"/>
          <w:lang w:val="en-US"/>
        </w:rPr>
        <w:tab/>
        <w:t>experimental mixing time</w:t>
      </w:r>
      <w:r w:rsidR="00A31402">
        <w:rPr>
          <w:rFonts w:ascii="Times New Roman" w:eastAsia="Times New Roman" w:hAnsi="Times New Roman"/>
          <w:sz w:val="24"/>
          <w:szCs w:val="24"/>
          <w:lang w:val="en-US"/>
        </w:rPr>
        <w:t>,</w:t>
      </w:r>
      <w:r w:rsidR="005C768B" w:rsidRPr="005C768B">
        <w:rPr>
          <w:rFonts w:ascii="Times New Roman" w:eastAsia="Times New Roman" w:hAnsi="Times New Roman"/>
          <w:sz w:val="24"/>
          <w:szCs w:val="24"/>
          <w:lang w:val="en-US"/>
        </w:rPr>
        <w:t xml:space="preserve"> s</w:t>
      </w:r>
    </w:p>
    <w:p w:rsidR="005C768B" w:rsidRPr="005C768B" w:rsidRDefault="00CF1A65" w:rsidP="005C768B">
      <w:pPr>
        <w:spacing w:after="0" w:line="360" w:lineRule="auto"/>
        <w:rPr>
          <w:rFonts w:ascii="Times New Roman" w:eastAsia="Times New Roman" w:hAnsi="Times New Roman"/>
          <w:sz w:val="24"/>
          <w:szCs w:val="24"/>
          <w:lang w:val="en-US"/>
        </w:rPr>
      </w:pPr>
      <m:oMath>
        <m:sSub>
          <m:sSubPr>
            <m:ctrlPr>
              <w:rPr>
                <w:rFonts w:ascii="Cambria Math" w:hAnsi="Cambria Math"/>
                <w:i/>
                <w:sz w:val="24"/>
                <w:szCs w:val="24"/>
                <w:lang w:val="en-US"/>
              </w:rPr>
            </m:ctrlPr>
          </m:sSubPr>
          <m:e>
            <m:r>
              <w:rPr>
                <w:rFonts w:ascii="Cambria Math" w:hAnsi="Cambria Math"/>
                <w:sz w:val="24"/>
                <w:szCs w:val="24"/>
                <w:lang w:val="en-US"/>
              </w:rPr>
              <m:t>t</m:t>
            </m:r>
          </m:e>
          <m:sub>
            <m:r>
              <w:rPr>
                <w:rFonts w:ascii="Cambria Math" w:hAnsi="Cambria Math"/>
                <w:sz w:val="24"/>
                <w:szCs w:val="24"/>
                <w:lang w:val="en-US"/>
              </w:rPr>
              <m:t>mp</m:t>
            </m:r>
          </m:sub>
        </m:sSub>
      </m:oMath>
      <w:r w:rsidR="005C768B" w:rsidRPr="005C768B">
        <w:rPr>
          <w:rFonts w:ascii="Times New Roman" w:eastAsia="Times New Roman" w:hAnsi="Times New Roman"/>
          <w:sz w:val="24"/>
          <w:szCs w:val="24"/>
          <w:lang w:val="en-US"/>
        </w:rPr>
        <w:t xml:space="preserve"> </w:t>
      </w:r>
      <w:r w:rsidR="005C768B" w:rsidRPr="005C768B">
        <w:rPr>
          <w:rFonts w:ascii="Times New Roman" w:eastAsia="Times New Roman" w:hAnsi="Times New Roman"/>
          <w:sz w:val="24"/>
          <w:szCs w:val="24"/>
          <w:lang w:val="en-US"/>
        </w:rPr>
        <w:tab/>
        <w:t>predicted mixing time</w:t>
      </w:r>
      <w:r w:rsidR="00A31402">
        <w:rPr>
          <w:rFonts w:ascii="Times New Roman" w:eastAsia="Times New Roman" w:hAnsi="Times New Roman"/>
          <w:sz w:val="24"/>
          <w:szCs w:val="24"/>
          <w:lang w:val="en-US"/>
        </w:rPr>
        <w:t>,</w:t>
      </w:r>
      <w:r w:rsidR="005C768B" w:rsidRPr="005C768B">
        <w:rPr>
          <w:rFonts w:ascii="Times New Roman" w:eastAsia="Times New Roman" w:hAnsi="Times New Roman"/>
          <w:sz w:val="24"/>
          <w:szCs w:val="24"/>
          <w:lang w:val="en-US"/>
        </w:rPr>
        <w:t xml:space="preserve"> s</w:t>
      </w:r>
    </w:p>
    <w:p w:rsidR="005C768B" w:rsidRDefault="005C768B" w:rsidP="005C768B">
      <w:pPr>
        <w:spacing w:after="0" w:line="360" w:lineRule="auto"/>
        <w:rPr>
          <w:rFonts w:ascii="Times New Roman" w:hAnsi="Times New Roman"/>
          <w:bCs/>
          <w:sz w:val="24"/>
          <w:szCs w:val="24"/>
          <w:lang w:val="en-GB"/>
        </w:rPr>
      </w:pPr>
      <w:r w:rsidRPr="005C768B">
        <w:rPr>
          <w:rFonts w:ascii="Times New Roman" w:eastAsia="Times New Roman" w:hAnsi="Times New Roman"/>
          <w:sz w:val="24"/>
          <w:szCs w:val="24"/>
          <w:lang w:val="en-US"/>
        </w:rPr>
        <w:t xml:space="preserve"> </w:t>
      </w:r>
      <w:r w:rsidRPr="005C768B">
        <w:rPr>
          <w:rFonts w:ascii="Times New Roman" w:hAnsi="Times New Roman"/>
          <w:i/>
          <w:spacing w:val="2"/>
          <w:sz w:val="24"/>
          <w:szCs w:val="24"/>
          <w:shd w:val="clear" w:color="auto" w:fill="FFFFFF"/>
          <w:lang w:val="en-US"/>
        </w:rPr>
        <w:t xml:space="preserve">f </w:t>
      </w:r>
      <w:r w:rsidRPr="005C768B">
        <w:rPr>
          <w:rFonts w:ascii="Times New Roman" w:hAnsi="Times New Roman"/>
          <w:i/>
          <w:spacing w:val="2"/>
          <w:sz w:val="24"/>
          <w:szCs w:val="24"/>
          <w:shd w:val="clear" w:color="auto" w:fill="FFFFFF"/>
          <w:lang w:val="en-US"/>
        </w:rPr>
        <w:tab/>
      </w:r>
      <w:r w:rsidRPr="005C768B">
        <w:rPr>
          <w:rFonts w:ascii="Times New Roman" w:hAnsi="Times New Roman"/>
          <w:spacing w:val="2"/>
          <w:sz w:val="24"/>
          <w:szCs w:val="24"/>
          <w:shd w:val="clear" w:color="auto" w:fill="FFFFFF"/>
          <w:lang w:val="en-US"/>
        </w:rPr>
        <w:t>dimensionless friction factor in Darcy’s equation</w:t>
      </w:r>
    </w:p>
    <w:p w:rsidR="005C768B" w:rsidRPr="005C768B" w:rsidRDefault="005C768B" w:rsidP="003C62EC">
      <w:pPr>
        <w:spacing w:before="240" w:line="360" w:lineRule="auto"/>
        <w:rPr>
          <w:rFonts w:ascii="Times New Roman" w:hAnsi="Times New Roman"/>
          <w:i/>
          <w:sz w:val="24"/>
          <w:szCs w:val="24"/>
          <w:lang w:val="en-US"/>
          <w14:textOutline w14:w="9525" w14:cap="rnd" w14:cmpd="sng" w14:algn="ctr">
            <w14:noFill/>
            <w14:prstDash w14:val="solid"/>
            <w14:bevel/>
          </w14:textOutline>
        </w:rPr>
      </w:pPr>
      <w:r>
        <w:rPr>
          <w:rFonts w:ascii="Times New Roman" w:hAnsi="Times New Roman"/>
          <w:i/>
          <w:sz w:val="24"/>
          <w:szCs w:val="24"/>
          <w:lang w:val="en-US"/>
        </w:rPr>
        <w:lastRenderedPageBreak/>
        <w:t xml:space="preserve">Acknowledgement: </w:t>
      </w:r>
      <w:r w:rsidR="00F24FB1">
        <w:rPr>
          <w:rFonts w:ascii="Times New Roman" w:hAnsi="Times New Roman"/>
          <w:sz w:val="24"/>
          <w:szCs w:val="24"/>
          <w:lang w:val="en-US"/>
        </w:rPr>
        <w:t>The authors</w:t>
      </w:r>
      <w:r w:rsidRPr="005C768B">
        <w:rPr>
          <w:rFonts w:ascii="Times New Roman" w:hAnsi="Times New Roman"/>
          <w:sz w:val="24"/>
          <w:szCs w:val="24"/>
          <w:lang w:val="en-US"/>
        </w:rPr>
        <w:t xml:space="preserve"> acknowledge the tutelage of Dr. </w:t>
      </w:r>
      <w:r w:rsidR="008C77A3">
        <w:rPr>
          <w:rFonts w:ascii="Times New Roman" w:hAnsi="Times New Roman"/>
          <w:sz w:val="24"/>
          <w:szCs w:val="24"/>
          <w:lang w:val="en-US"/>
        </w:rPr>
        <w:t>K.</w:t>
      </w:r>
      <w:r w:rsidR="00F24FB1">
        <w:rPr>
          <w:rFonts w:ascii="Times New Roman" w:hAnsi="Times New Roman"/>
          <w:sz w:val="24"/>
          <w:szCs w:val="24"/>
          <w:lang w:val="en-US"/>
        </w:rPr>
        <w:t xml:space="preserve"> </w:t>
      </w:r>
      <w:r w:rsidRPr="005C768B">
        <w:rPr>
          <w:rFonts w:ascii="Times New Roman" w:hAnsi="Times New Roman"/>
          <w:sz w:val="24"/>
          <w:szCs w:val="24"/>
          <w:lang w:val="en-US"/>
        </w:rPr>
        <w:t xml:space="preserve">Yoshimoto and Dr. </w:t>
      </w:r>
      <w:r w:rsidR="008C77A3">
        <w:rPr>
          <w:rFonts w:ascii="Times New Roman" w:hAnsi="Times New Roman"/>
          <w:sz w:val="24"/>
          <w:szCs w:val="24"/>
          <w:lang w:val="en-US"/>
        </w:rPr>
        <w:t xml:space="preserve">Y. </w:t>
      </w:r>
      <w:r w:rsidRPr="005C768B">
        <w:rPr>
          <w:rFonts w:ascii="Times New Roman" w:hAnsi="Times New Roman"/>
          <w:sz w:val="24"/>
          <w:szCs w:val="24"/>
          <w:lang w:val="en-US"/>
        </w:rPr>
        <w:t>Muranaka of Kyoto University</w:t>
      </w:r>
      <w:r w:rsidR="00DF2945">
        <w:rPr>
          <w:rFonts w:ascii="Times New Roman" w:hAnsi="Times New Roman"/>
          <w:sz w:val="24"/>
          <w:szCs w:val="24"/>
          <w:lang w:val="en-US"/>
        </w:rPr>
        <w:t xml:space="preserve">, and supervision of Dr. M.F. Elkady and Prof. A.H. El-Shazly during their Project Based Learning at </w:t>
      </w:r>
      <w:r w:rsidR="00DF2945" w:rsidRPr="005C768B">
        <w:rPr>
          <w:rFonts w:ascii="Times New Roman" w:hAnsi="Times New Roman"/>
          <w:sz w:val="24"/>
          <w:szCs w:val="24"/>
          <w:lang w:val="en-US"/>
        </w:rPr>
        <w:t>Egypt-Japan University of Science and Technology</w:t>
      </w:r>
      <w:r w:rsidR="00DF2945">
        <w:rPr>
          <w:rFonts w:ascii="Times New Roman" w:hAnsi="Times New Roman"/>
          <w:sz w:val="24"/>
          <w:szCs w:val="24"/>
          <w:lang w:val="en-US"/>
        </w:rPr>
        <w:t xml:space="preserve"> (E-JUST)</w:t>
      </w:r>
      <w:r w:rsidR="00DF2945" w:rsidRPr="005C768B">
        <w:rPr>
          <w:rFonts w:ascii="Times New Roman" w:hAnsi="Times New Roman"/>
          <w:sz w:val="24"/>
          <w:szCs w:val="24"/>
          <w:lang w:val="en-US"/>
        </w:rPr>
        <w:t>, Egypt</w:t>
      </w:r>
      <w:r w:rsidRPr="005C768B">
        <w:rPr>
          <w:rFonts w:ascii="Times New Roman" w:hAnsi="Times New Roman"/>
          <w:sz w:val="24"/>
          <w:szCs w:val="24"/>
          <w:lang w:val="en-US"/>
        </w:rPr>
        <w:t xml:space="preserve">. The authors also acknowledge scholarship support from </w:t>
      </w:r>
      <w:r w:rsidR="00F24FB1">
        <w:rPr>
          <w:rFonts w:ascii="Times New Roman" w:hAnsi="Times New Roman"/>
          <w:sz w:val="24"/>
          <w:szCs w:val="24"/>
          <w:lang w:val="en-US"/>
        </w:rPr>
        <w:t>Ministry of Higher Education</w:t>
      </w:r>
      <w:r w:rsidR="00F24FB1">
        <w:rPr>
          <w:rFonts w:ascii="Times New Roman" w:hAnsi="Times New Roman"/>
          <w:sz w:val="24"/>
          <w:szCs w:val="24"/>
          <w:lang w:val="en-US"/>
        </w:rPr>
        <w:t xml:space="preserve"> </w:t>
      </w:r>
      <w:r w:rsidR="00F24FB1">
        <w:rPr>
          <w:rFonts w:ascii="Times New Roman" w:hAnsi="Times New Roman"/>
          <w:sz w:val="24"/>
          <w:szCs w:val="24"/>
          <w:lang w:val="en-US"/>
        </w:rPr>
        <w:t>(</w:t>
      </w:r>
      <w:r w:rsidR="00F24FB1" w:rsidRPr="005C768B">
        <w:rPr>
          <w:rFonts w:ascii="Times New Roman" w:hAnsi="Times New Roman"/>
          <w:sz w:val="24"/>
          <w:szCs w:val="24"/>
          <w:lang w:val="en-US"/>
        </w:rPr>
        <w:t>MOHE</w:t>
      </w:r>
      <w:r w:rsidR="00F24FB1">
        <w:rPr>
          <w:rFonts w:ascii="Times New Roman" w:hAnsi="Times New Roman"/>
          <w:sz w:val="24"/>
          <w:szCs w:val="24"/>
          <w:lang w:val="en-US"/>
        </w:rPr>
        <w:t>)</w:t>
      </w:r>
      <w:r w:rsidR="00F24FB1" w:rsidRPr="00F24FB1">
        <w:rPr>
          <w:rFonts w:ascii="Times New Roman" w:hAnsi="Times New Roman"/>
          <w:sz w:val="24"/>
          <w:szCs w:val="24"/>
          <w:lang w:val="en-US"/>
        </w:rPr>
        <w:t xml:space="preserve"> </w:t>
      </w:r>
      <w:r w:rsidR="00F24FB1" w:rsidRPr="005C768B">
        <w:rPr>
          <w:rFonts w:ascii="Times New Roman" w:hAnsi="Times New Roman"/>
          <w:sz w:val="24"/>
          <w:szCs w:val="24"/>
          <w:lang w:val="en-US"/>
        </w:rPr>
        <w:t>and</w:t>
      </w:r>
      <w:r w:rsidR="00F24FB1" w:rsidRPr="00F24FB1">
        <w:rPr>
          <w:rFonts w:ascii="Times New Roman" w:hAnsi="Times New Roman"/>
          <w:sz w:val="24"/>
          <w:szCs w:val="24"/>
          <w:lang w:val="en-US"/>
        </w:rPr>
        <w:t xml:space="preserve"> Japan International Cooperation Agency </w:t>
      </w:r>
      <w:r w:rsidR="00F24FB1">
        <w:rPr>
          <w:rFonts w:ascii="Times New Roman" w:hAnsi="Times New Roman"/>
          <w:sz w:val="24"/>
          <w:szCs w:val="24"/>
          <w:lang w:val="en-US"/>
        </w:rPr>
        <w:t>(</w:t>
      </w:r>
      <w:r w:rsidRPr="005C768B">
        <w:rPr>
          <w:rFonts w:ascii="Times New Roman" w:hAnsi="Times New Roman"/>
          <w:sz w:val="24"/>
          <w:szCs w:val="24"/>
          <w:lang w:val="en-US"/>
        </w:rPr>
        <w:t>JICA</w:t>
      </w:r>
      <w:r w:rsidR="00F24FB1">
        <w:rPr>
          <w:rFonts w:ascii="Times New Roman" w:hAnsi="Times New Roman"/>
          <w:sz w:val="24"/>
          <w:szCs w:val="24"/>
          <w:lang w:val="en-US"/>
        </w:rPr>
        <w:t>)</w:t>
      </w:r>
      <w:r w:rsidRPr="005C768B">
        <w:rPr>
          <w:rFonts w:ascii="Times New Roman" w:hAnsi="Times New Roman"/>
          <w:sz w:val="24"/>
          <w:szCs w:val="24"/>
          <w:lang w:val="en-US"/>
        </w:rPr>
        <w:t xml:space="preserve"> in</w:t>
      </w:r>
      <w:r w:rsidR="00DF2945">
        <w:rPr>
          <w:rFonts w:ascii="Times New Roman" w:hAnsi="Times New Roman"/>
          <w:sz w:val="24"/>
          <w:szCs w:val="24"/>
          <w:lang w:val="en-US"/>
        </w:rPr>
        <w:t xml:space="preserve"> E-JUST</w:t>
      </w:r>
      <w:r w:rsidRPr="005C768B">
        <w:rPr>
          <w:rFonts w:ascii="Times New Roman" w:hAnsi="Times New Roman"/>
          <w:sz w:val="24"/>
          <w:szCs w:val="24"/>
          <w:lang w:val="en-US"/>
        </w:rPr>
        <w:t xml:space="preserve">, Egypt. </w:t>
      </w:r>
    </w:p>
    <w:p w:rsidR="00FC34A5" w:rsidRPr="00FC34A5" w:rsidRDefault="005C768B" w:rsidP="00FC34A5">
      <w:pPr>
        <w:spacing w:line="360" w:lineRule="auto"/>
        <w:rPr>
          <w:rFonts w:ascii="Times New Roman" w:hAnsi="Times New Roman"/>
          <w:sz w:val="24"/>
          <w:szCs w:val="24"/>
          <w:lang w:val="en-US"/>
        </w:rPr>
      </w:pPr>
      <w:r w:rsidRPr="005C768B">
        <w:rPr>
          <w:rFonts w:ascii="Times New Roman" w:hAnsi="Times New Roman"/>
          <w:sz w:val="24"/>
          <w:szCs w:val="24"/>
          <w:lang w:val="en-US"/>
        </w:rPr>
        <w:t>REFERENCES</w:t>
      </w:r>
    </w:p>
    <w:p w:rsidR="00FC34A5" w:rsidRPr="00FC34A5" w:rsidRDefault="00FC34A5" w:rsidP="00FC34A5">
      <w:pPr>
        <w:widowControl w:val="0"/>
        <w:autoSpaceDE w:val="0"/>
        <w:autoSpaceDN w:val="0"/>
        <w:adjustRightInd w:val="0"/>
        <w:spacing w:after="0" w:line="360" w:lineRule="auto"/>
        <w:ind w:left="640" w:hanging="640"/>
        <w:rPr>
          <w:rFonts w:ascii="Times New Roman" w:hAnsi="Times New Roman"/>
          <w:noProof/>
          <w:sz w:val="24"/>
          <w:szCs w:val="24"/>
        </w:rPr>
      </w:pPr>
      <w:r w:rsidRPr="00FC34A5">
        <w:rPr>
          <w:rFonts w:ascii="Times New Roman" w:hAnsi="Times New Roman"/>
          <w:b/>
          <w:sz w:val="24"/>
          <w:szCs w:val="24"/>
          <w:lang w:val="en-US"/>
        </w:rPr>
        <w:fldChar w:fldCharType="begin" w:fldLock="1"/>
      </w:r>
      <w:r w:rsidRPr="00FC34A5">
        <w:rPr>
          <w:rFonts w:ascii="Times New Roman" w:hAnsi="Times New Roman"/>
          <w:b/>
          <w:sz w:val="24"/>
          <w:szCs w:val="24"/>
          <w:lang w:val="en-US"/>
        </w:rPr>
        <w:instrText xml:space="preserve">ADDIN Mendeley Bibliography CSL_BIBLIOGRAPHY </w:instrText>
      </w:r>
      <w:r w:rsidRPr="00FC34A5">
        <w:rPr>
          <w:rFonts w:ascii="Times New Roman" w:hAnsi="Times New Roman"/>
          <w:b/>
          <w:sz w:val="24"/>
          <w:szCs w:val="24"/>
          <w:lang w:val="en-US"/>
        </w:rPr>
        <w:fldChar w:fldCharType="separate"/>
      </w:r>
      <w:r w:rsidRPr="00FC34A5">
        <w:rPr>
          <w:rFonts w:ascii="Times New Roman" w:hAnsi="Times New Roman"/>
          <w:noProof/>
          <w:sz w:val="24"/>
          <w:szCs w:val="24"/>
        </w:rPr>
        <w:t xml:space="preserve">1. </w:t>
      </w:r>
      <w:r w:rsidRPr="00FC34A5">
        <w:rPr>
          <w:rFonts w:ascii="Times New Roman" w:hAnsi="Times New Roman"/>
          <w:noProof/>
          <w:sz w:val="24"/>
          <w:szCs w:val="24"/>
        </w:rPr>
        <w:tab/>
        <w:t xml:space="preserve">J. Aubin, M. Ferrando, V. Jiricny, </w:t>
      </w:r>
      <w:r w:rsidRPr="00FC34A5">
        <w:rPr>
          <w:rFonts w:ascii="Times New Roman" w:hAnsi="Times New Roman"/>
          <w:i/>
          <w:iCs/>
          <w:noProof/>
          <w:sz w:val="24"/>
          <w:szCs w:val="24"/>
        </w:rPr>
        <w:t>Chem. Eng. Sci.</w:t>
      </w:r>
      <w:r w:rsidRPr="00FC34A5">
        <w:rPr>
          <w:rFonts w:ascii="Times New Roman" w:hAnsi="Times New Roman"/>
          <w:noProof/>
          <w:sz w:val="24"/>
          <w:szCs w:val="24"/>
        </w:rPr>
        <w:t xml:space="preserve"> </w:t>
      </w:r>
      <w:r w:rsidRPr="00FC34A5">
        <w:rPr>
          <w:rFonts w:ascii="Times New Roman" w:hAnsi="Times New Roman"/>
          <w:b/>
          <w:bCs/>
          <w:noProof/>
          <w:sz w:val="24"/>
          <w:szCs w:val="24"/>
        </w:rPr>
        <w:t>65</w:t>
      </w:r>
      <w:r w:rsidRPr="00FC34A5">
        <w:rPr>
          <w:rFonts w:ascii="Times New Roman" w:hAnsi="Times New Roman"/>
          <w:noProof/>
          <w:sz w:val="24"/>
          <w:szCs w:val="24"/>
        </w:rPr>
        <w:t xml:space="preserve"> (2010) 2065 </w:t>
      </w:r>
      <w:r w:rsidRPr="00FC34A5">
        <w:rPr>
          <w:lang w:val="en-US"/>
        </w:rPr>
        <w:t>(</w:t>
      </w:r>
      <w:hyperlink r:id="rId17" w:history="1">
        <w:r w:rsidRPr="00FC34A5">
          <w:rPr>
            <w:color w:val="0563C1"/>
            <w:u w:val="single"/>
            <w:lang w:val="en-US"/>
          </w:rPr>
          <w:t>https://doi.org/10.1016/j.ces.2009.12.001</w:t>
        </w:r>
      </w:hyperlink>
      <w:r w:rsidRPr="00FC34A5">
        <w:rPr>
          <w:lang w:val="en-US"/>
        </w:rPr>
        <w:t>).</w:t>
      </w:r>
    </w:p>
    <w:p w:rsidR="00FC34A5" w:rsidRPr="00FC34A5" w:rsidRDefault="00FC34A5" w:rsidP="00FC34A5">
      <w:pPr>
        <w:widowControl w:val="0"/>
        <w:autoSpaceDE w:val="0"/>
        <w:autoSpaceDN w:val="0"/>
        <w:adjustRightInd w:val="0"/>
        <w:spacing w:after="0" w:line="360" w:lineRule="auto"/>
        <w:ind w:left="640" w:hanging="640"/>
        <w:rPr>
          <w:rFonts w:ascii="Times New Roman" w:hAnsi="Times New Roman"/>
          <w:noProof/>
          <w:sz w:val="24"/>
          <w:szCs w:val="24"/>
        </w:rPr>
      </w:pPr>
      <w:r w:rsidRPr="00FC34A5">
        <w:rPr>
          <w:rFonts w:ascii="Times New Roman" w:hAnsi="Times New Roman"/>
          <w:noProof/>
          <w:sz w:val="24"/>
          <w:szCs w:val="24"/>
        </w:rPr>
        <w:t xml:space="preserve">2. </w:t>
      </w:r>
      <w:r w:rsidRPr="00FC34A5">
        <w:rPr>
          <w:rFonts w:ascii="Times New Roman" w:hAnsi="Times New Roman"/>
          <w:noProof/>
          <w:sz w:val="24"/>
          <w:szCs w:val="24"/>
        </w:rPr>
        <w:tab/>
        <w:t xml:space="preserve">W. Ehrfeld, K. Golbig, V. Hessel, H. Löwe, T. Richter, </w:t>
      </w:r>
      <w:r w:rsidRPr="00FC34A5">
        <w:rPr>
          <w:rFonts w:ascii="Times New Roman" w:hAnsi="Times New Roman"/>
          <w:i/>
          <w:iCs/>
          <w:noProof/>
          <w:sz w:val="24"/>
          <w:szCs w:val="24"/>
        </w:rPr>
        <w:t>Ind. Eng. Chem. Res.</w:t>
      </w:r>
      <w:r w:rsidRPr="00FC34A5">
        <w:rPr>
          <w:rFonts w:ascii="Times New Roman" w:hAnsi="Times New Roman"/>
          <w:noProof/>
          <w:sz w:val="24"/>
          <w:szCs w:val="24"/>
        </w:rPr>
        <w:t xml:space="preserve"> </w:t>
      </w:r>
      <w:r w:rsidRPr="00FC34A5">
        <w:rPr>
          <w:rFonts w:ascii="Times New Roman" w:hAnsi="Times New Roman"/>
          <w:b/>
          <w:bCs/>
          <w:noProof/>
          <w:sz w:val="24"/>
          <w:szCs w:val="24"/>
        </w:rPr>
        <w:t>38</w:t>
      </w:r>
      <w:r w:rsidRPr="00FC34A5">
        <w:rPr>
          <w:rFonts w:ascii="Times New Roman" w:hAnsi="Times New Roman"/>
          <w:noProof/>
          <w:sz w:val="24"/>
          <w:szCs w:val="24"/>
        </w:rPr>
        <w:t xml:space="preserve"> (1999) 1075 </w:t>
      </w:r>
      <w:r w:rsidRPr="00FC34A5">
        <w:rPr>
          <w:lang w:val="en-US"/>
        </w:rPr>
        <w:t>(</w:t>
      </w:r>
      <w:hyperlink r:id="rId18" w:history="1">
        <w:r w:rsidRPr="00FC34A5">
          <w:rPr>
            <w:color w:val="0563C1"/>
            <w:u w:val="single"/>
            <w:lang w:val="en-US"/>
          </w:rPr>
          <w:t>https://doi.org/10.1021/ie980128d</w:t>
        </w:r>
      </w:hyperlink>
      <w:r w:rsidRPr="00FC34A5">
        <w:rPr>
          <w:lang w:val="en-US"/>
        </w:rPr>
        <w:t>).</w:t>
      </w:r>
    </w:p>
    <w:p w:rsidR="00FC34A5" w:rsidRPr="00FC34A5" w:rsidRDefault="00FC34A5" w:rsidP="00FC34A5">
      <w:pPr>
        <w:widowControl w:val="0"/>
        <w:autoSpaceDE w:val="0"/>
        <w:autoSpaceDN w:val="0"/>
        <w:adjustRightInd w:val="0"/>
        <w:spacing w:after="0" w:line="360" w:lineRule="auto"/>
        <w:ind w:left="640" w:hanging="640"/>
        <w:rPr>
          <w:rFonts w:ascii="Times New Roman" w:hAnsi="Times New Roman"/>
          <w:noProof/>
          <w:sz w:val="24"/>
          <w:szCs w:val="24"/>
        </w:rPr>
      </w:pPr>
      <w:r w:rsidRPr="00FC34A5">
        <w:rPr>
          <w:rFonts w:ascii="Times New Roman" w:hAnsi="Times New Roman"/>
          <w:noProof/>
          <w:sz w:val="24"/>
          <w:szCs w:val="24"/>
        </w:rPr>
        <w:t xml:space="preserve">3. </w:t>
      </w:r>
      <w:r w:rsidRPr="00FC34A5">
        <w:rPr>
          <w:rFonts w:ascii="Times New Roman" w:hAnsi="Times New Roman"/>
          <w:noProof/>
          <w:sz w:val="24"/>
          <w:szCs w:val="24"/>
        </w:rPr>
        <w:tab/>
        <w:t xml:space="preserve">J. M. Commenge, L. Falk, </w:t>
      </w:r>
      <w:r w:rsidRPr="00FC34A5">
        <w:rPr>
          <w:rFonts w:ascii="Times New Roman" w:hAnsi="Times New Roman"/>
          <w:i/>
          <w:iCs/>
          <w:noProof/>
          <w:sz w:val="24"/>
          <w:szCs w:val="24"/>
        </w:rPr>
        <w:t>Chem. Eng. Process. Process Intensif.</w:t>
      </w:r>
      <w:r w:rsidRPr="00FC34A5">
        <w:rPr>
          <w:rFonts w:ascii="Times New Roman" w:hAnsi="Times New Roman"/>
          <w:noProof/>
          <w:sz w:val="24"/>
          <w:szCs w:val="24"/>
        </w:rPr>
        <w:t xml:space="preserve"> </w:t>
      </w:r>
      <w:r w:rsidRPr="00FC34A5">
        <w:rPr>
          <w:rFonts w:ascii="Times New Roman" w:hAnsi="Times New Roman"/>
          <w:b/>
          <w:bCs/>
          <w:noProof/>
          <w:sz w:val="24"/>
          <w:szCs w:val="24"/>
        </w:rPr>
        <w:t>50</w:t>
      </w:r>
      <w:r w:rsidRPr="00FC34A5">
        <w:rPr>
          <w:rFonts w:ascii="Times New Roman" w:hAnsi="Times New Roman"/>
          <w:noProof/>
          <w:sz w:val="24"/>
          <w:szCs w:val="24"/>
        </w:rPr>
        <w:t xml:space="preserve"> (2011) 979 </w:t>
      </w:r>
      <w:r w:rsidRPr="00FC34A5">
        <w:rPr>
          <w:lang w:val="en-US"/>
        </w:rPr>
        <w:t>(</w:t>
      </w:r>
      <w:hyperlink r:id="rId19" w:history="1">
        <w:r w:rsidRPr="00FC34A5">
          <w:rPr>
            <w:color w:val="0563C1"/>
            <w:u w:val="single"/>
            <w:lang w:val="en-US"/>
          </w:rPr>
          <w:t>https://doi.org/10.1016/j.cep.2011.06.006</w:t>
        </w:r>
      </w:hyperlink>
      <w:r w:rsidRPr="00FC34A5">
        <w:rPr>
          <w:lang w:val="en-US"/>
        </w:rPr>
        <w:t>).</w:t>
      </w:r>
    </w:p>
    <w:p w:rsidR="00FC34A5" w:rsidRPr="00FC34A5" w:rsidRDefault="00FC34A5" w:rsidP="00FC34A5">
      <w:pPr>
        <w:widowControl w:val="0"/>
        <w:autoSpaceDE w:val="0"/>
        <w:autoSpaceDN w:val="0"/>
        <w:adjustRightInd w:val="0"/>
        <w:spacing w:after="0" w:line="360" w:lineRule="auto"/>
        <w:ind w:left="640" w:hanging="640"/>
        <w:rPr>
          <w:rFonts w:ascii="Times New Roman" w:hAnsi="Times New Roman"/>
          <w:noProof/>
          <w:sz w:val="24"/>
          <w:szCs w:val="24"/>
        </w:rPr>
      </w:pPr>
      <w:r w:rsidRPr="00FC34A5">
        <w:rPr>
          <w:rFonts w:ascii="Times New Roman" w:hAnsi="Times New Roman"/>
          <w:noProof/>
          <w:sz w:val="24"/>
          <w:szCs w:val="24"/>
        </w:rPr>
        <w:t xml:space="preserve">4. </w:t>
      </w:r>
      <w:r w:rsidRPr="00FC34A5">
        <w:rPr>
          <w:rFonts w:ascii="Times New Roman" w:hAnsi="Times New Roman"/>
          <w:noProof/>
          <w:sz w:val="24"/>
          <w:szCs w:val="24"/>
        </w:rPr>
        <w:tab/>
        <w:t xml:space="preserve">P. Garstecki, M. J. Fuerstman, H. A. Stone, G. M. Whitesides, </w:t>
      </w:r>
      <w:r w:rsidRPr="00FC34A5">
        <w:rPr>
          <w:rFonts w:ascii="Times New Roman" w:hAnsi="Times New Roman"/>
          <w:i/>
          <w:iCs/>
          <w:noProof/>
          <w:sz w:val="24"/>
          <w:szCs w:val="24"/>
        </w:rPr>
        <w:t>Lab Chip</w:t>
      </w:r>
      <w:r w:rsidRPr="00FC34A5">
        <w:rPr>
          <w:rFonts w:ascii="Times New Roman" w:hAnsi="Times New Roman"/>
          <w:noProof/>
          <w:sz w:val="24"/>
          <w:szCs w:val="24"/>
        </w:rPr>
        <w:t xml:space="preserve">. </w:t>
      </w:r>
      <w:r w:rsidRPr="00FC34A5">
        <w:rPr>
          <w:rFonts w:ascii="Times New Roman" w:hAnsi="Times New Roman"/>
          <w:b/>
          <w:bCs/>
          <w:noProof/>
          <w:sz w:val="24"/>
          <w:szCs w:val="24"/>
        </w:rPr>
        <w:t>6</w:t>
      </w:r>
      <w:r w:rsidRPr="00FC34A5">
        <w:rPr>
          <w:rFonts w:ascii="Times New Roman" w:hAnsi="Times New Roman"/>
          <w:noProof/>
          <w:sz w:val="24"/>
          <w:szCs w:val="24"/>
        </w:rPr>
        <w:t xml:space="preserve"> (2006) 437 </w:t>
      </w:r>
      <w:r w:rsidRPr="00FC34A5">
        <w:rPr>
          <w:lang w:val="en-US"/>
        </w:rPr>
        <w:t>(</w:t>
      </w:r>
      <w:hyperlink r:id="rId20" w:history="1">
        <w:r w:rsidRPr="00FC34A5">
          <w:rPr>
            <w:color w:val="0563C1"/>
            <w:u w:val="single"/>
            <w:lang w:val="en-US"/>
          </w:rPr>
          <w:t>https://doi.org/10.1039/b510841a</w:t>
        </w:r>
      </w:hyperlink>
      <w:r w:rsidRPr="00FC34A5">
        <w:rPr>
          <w:lang w:val="en-US"/>
        </w:rPr>
        <w:t>).</w:t>
      </w:r>
    </w:p>
    <w:p w:rsidR="00FC34A5" w:rsidRPr="00FC34A5" w:rsidRDefault="00FC34A5" w:rsidP="00FC34A5">
      <w:pPr>
        <w:widowControl w:val="0"/>
        <w:autoSpaceDE w:val="0"/>
        <w:autoSpaceDN w:val="0"/>
        <w:adjustRightInd w:val="0"/>
        <w:spacing w:after="0" w:line="360" w:lineRule="auto"/>
        <w:ind w:left="640" w:hanging="640"/>
        <w:rPr>
          <w:rFonts w:ascii="Times New Roman" w:hAnsi="Times New Roman"/>
          <w:noProof/>
          <w:sz w:val="24"/>
          <w:szCs w:val="24"/>
        </w:rPr>
      </w:pPr>
      <w:r w:rsidRPr="00FC34A5">
        <w:rPr>
          <w:rFonts w:ascii="Times New Roman" w:hAnsi="Times New Roman"/>
          <w:noProof/>
          <w:sz w:val="24"/>
          <w:szCs w:val="24"/>
        </w:rPr>
        <w:t xml:space="preserve">5. </w:t>
      </w:r>
      <w:r w:rsidRPr="00FC34A5">
        <w:rPr>
          <w:rFonts w:ascii="Times New Roman" w:hAnsi="Times New Roman"/>
          <w:noProof/>
          <w:sz w:val="24"/>
          <w:szCs w:val="24"/>
        </w:rPr>
        <w:tab/>
        <w:t xml:space="preserve">M. Rahimi </w:t>
      </w:r>
      <w:r w:rsidRPr="00FC34A5">
        <w:rPr>
          <w:rFonts w:ascii="Times New Roman" w:hAnsi="Times New Roman"/>
          <w:i/>
          <w:iCs/>
          <w:noProof/>
          <w:sz w:val="24"/>
          <w:szCs w:val="24"/>
        </w:rPr>
        <w:t>et al.</w:t>
      </w:r>
      <w:r w:rsidRPr="00FC34A5">
        <w:rPr>
          <w:rFonts w:ascii="Times New Roman" w:hAnsi="Times New Roman"/>
          <w:noProof/>
          <w:sz w:val="24"/>
          <w:szCs w:val="24"/>
        </w:rPr>
        <w:t xml:space="preserve">, </w:t>
      </w:r>
      <w:r w:rsidRPr="00FC34A5">
        <w:rPr>
          <w:rFonts w:ascii="Times New Roman" w:hAnsi="Times New Roman"/>
          <w:i/>
          <w:iCs/>
          <w:noProof/>
          <w:sz w:val="24"/>
          <w:szCs w:val="24"/>
        </w:rPr>
        <w:t>Microsyst. Technol.</w:t>
      </w:r>
      <w:r w:rsidRPr="00FC34A5">
        <w:rPr>
          <w:rFonts w:ascii="Times New Roman" w:hAnsi="Times New Roman"/>
          <w:noProof/>
          <w:sz w:val="24"/>
          <w:szCs w:val="24"/>
        </w:rPr>
        <w:t xml:space="preserve"> </w:t>
      </w:r>
      <w:r w:rsidRPr="00FC34A5">
        <w:rPr>
          <w:rFonts w:ascii="Times New Roman" w:hAnsi="Times New Roman"/>
          <w:b/>
          <w:bCs/>
          <w:noProof/>
          <w:sz w:val="24"/>
          <w:szCs w:val="24"/>
        </w:rPr>
        <w:t>23</w:t>
      </w:r>
      <w:r w:rsidRPr="00FC34A5">
        <w:rPr>
          <w:rFonts w:ascii="Times New Roman" w:hAnsi="Times New Roman"/>
          <w:noProof/>
          <w:sz w:val="24"/>
          <w:szCs w:val="24"/>
        </w:rPr>
        <w:t xml:space="preserve"> (2017) 3117 </w:t>
      </w:r>
      <w:r w:rsidRPr="00FC34A5">
        <w:rPr>
          <w:lang w:val="en-US"/>
        </w:rPr>
        <w:t>(</w:t>
      </w:r>
      <w:hyperlink r:id="rId21" w:history="1">
        <w:r w:rsidRPr="00FC34A5">
          <w:rPr>
            <w:color w:val="0563C1"/>
            <w:u w:val="single"/>
            <w:lang w:val="en-US"/>
          </w:rPr>
          <w:t>https://doi.org/10.1007/s00542-016-3118-6</w:t>
        </w:r>
      </w:hyperlink>
      <w:r w:rsidRPr="00FC34A5">
        <w:rPr>
          <w:lang w:val="en-US"/>
        </w:rPr>
        <w:t>).</w:t>
      </w:r>
    </w:p>
    <w:p w:rsidR="00FC34A5" w:rsidRPr="00FC34A5" w:rsidRDefault="00FC34A5" w:rsidP="00FC34A5">
      <w:pPr>
        <w:widowControl w:val="0"/>
        <w:autoSpaceDE w:val="0"/>
        <w:autoSpaceDN w:val="0"/>
        <w:adjustRightInd w:val="0"/>
        <w:spacing w:after="0" w:line="360" w:lineRule="auto"/>
        <w:ind w:left="640" w:hanging="640"/>
        <w:rPr>
          <w:rFonts w:ascii="Times New Roman" w:hAnsi="Times New Roman"/>
          <w:noProof/>
          <w:sz w:val="24"/>
          <w:szCs w:val="24"/>
        </w:rPr>
      </w:pPr>
      <w:r w:rsidRPr="00FC34A5">
        <w:rPr>
          <w:rFonts w:ascii="Times New Roman" w:hAnsi="Times New Roman"/>
          <w:noProof/>
          <w:sz w:val="24"/>
          <w:szCs w:val="24"/>
        </w:rPr>
        <w:t xml:space="preserve">6. </w:t>
      </w:r>
      <w:r w:rsidRPr="00FC34A5">
        <w:rPr>
          <w:rFonts w:ascii="Times New Roman" w:hAnsi="Times New Roman"/>
          <w:noProof/>
          <w:sz w:val="24"/>
          <w:szCs w:val="24"/>
        </w:rPr>
        <w:tab/>
        <w:t xml:space="preserve">L. Falk, J. M. Commenge, </w:t>
      </w:r>
      <w:r w:rsidRPr="00FC34A5">
        <w:rPr>
          <w:rFonts w:ascii="Times New Roman" w:hAnsi="Times New Roman"/>
          <w:i/>
          <w:iCs/>
          <w:noProof/>
          <w:sz w:val="24"/>
          <w:szCs w:val="24"/>
        </w:rPr>
        <w:t>Chem. Eng. Sci.</w:t>
      </w:r>
      <w:r w:rsidRPr="00FC34A5">
        <w:rPr>
          <w:rFonts w:ascii="Times New Roman" w:hAnsi="Times New Roman"/>
          <w:noProof/>
          <w:sz w:val="24"/>
          <w:szCs w:val="24"/>
        </w:rPr>
        <w:t xml:space="preserve"> </w:t>
      </w:r>
      <w:r w:rsidRPr="00FC34A5">
        <w:rPr>
          <w:rFonts w:ascii="Times New Roman" w:hAnsi="Times New Roman"/>
          <w:b/>
          <w:bCs/>
          <w:noProof/>
          <w:sz w:val="24"/>
          <w:szCs w:val="24"/>
        </w:rPr>
        <w:t>65</w:t>
      </w:r>
      <w:r w:rsidRPr="00FC34A5">
        <w:rPr>
          <w:rFonts w:ascii="Times New Roman" w:hAnsi="Times New Roman"/>
          <w:noProof/>
          <w:sz w:val="24"/>
          <w:szCs w:val="24"/>
        </w:rPr>
        <w:t xml:space="preserve"> (2010) 405 </w:t>
      </w:r>
      <w:r w:rsidRPr="00FC34A5">
        <w:rPr>
          <w:lang w:val="en-US"/>
        </w:rPr>
        <w:t>(</w:t>
      </w:r>
      <w:hyperlink r:id="rId22" w:history="1">
        <w:r w:rsidRPr="00FC34A5">
          <w:rPr>
            <w:color w:val="0563C1"/>
            <w:u w:val="single"/>
            <w:lang w:val="en-US"/>
          </w:rPr>
          <w:t>https://doi.org/10.1016/j.ces.2009.05.045</w:t>
        </w:r>
      </w:hyperlink>
      <w:r w:rsidRPr="00FC34A5">
        <w:rPr>
          <w:lang w:val="en-US"/>
        </w:rPr>
        <w:t>).</w:t>
      </w:r>
    </w:p>
    <w:p w:rsidR="00FC34A5" w:rsidRPr="00FC34A5" w:rsidRDefault="00FC34A5" w:rsidP="00FC34A5">
      <w:pPr>
        <w:widowControl w:val="0"/>
        <w:autoSpaceDE w:val="0"/>
        <w:autoSpaceDN w:val="0"/>
        <w:adjustRightInd w:val="0"/>
        <w:spacing w:after="0" w:line="360" w:lineRule="auto"/>
        <w:ind w:left="640" w:hanging="640"/>
        <w:rPr>
          <w:rFonts w:ascii="Times New Roman" w:hAnsi="Times New Roman"/>
          <w:noProof/>
          <w:sz w:val="24"/>
          <w:szCs w:val="24"/>
        </w:rPr>
      </w:pPr>
      <w:r w:rsidRPr="00FC34A5">
        <w:rPr>
          <w:rFonts w:ascii="Times New Roman" w:hAnsi="Times New Roman"/>
          <w:noProof/>
          <w:sz w:val="24"/>
          <w:szCs w:val="24"/>
        </w:rPr>
        <w:t xml:space="preserve">7. </w:t>
      </w:r>
      <w:r w:rsidRPr="00FC34A5">
        <w:rPr>
          <w:rFonts w:ascii="Times New Roman" w:hAnsi="Times New Roman"/>
          <w:noProof/>
          <w:sz w:val="24"/>
          <w:szCs w:val="24"/>
        </w:rPr>
        <w:tab/>
        <w:t xml:space="preserve">M. Rahimi, P. Valeh-e-Sheyda, M. A. Parsamoghadam, N. Azimi, H. Adibi, </w:t>
      </w:r>
      <w:r w:rsidRPr="00FC34A5">
        <w:rPr>
          <w:rFonts w:ascii="Times New Roman" w:hAnsi="Times New Roman"/>
          <w:i/>
          <w:iCs/>
          <w:noProof/>
          <w:sz w:val="24"/>
          <w:szCs w:val="24"/>
        </w:rPr>
        <w:t>Chem. Eng. Process. Process Intensif.</w:t>
      </w:r>
      <w:r w:rsidRPr="00FC34A5">
        <w:rPr>
          <w:rFonts w:ascii="Times New Roman" w:hAnsi="Times New Roman"/>
          <w:noProof/>
          <w:sz w:val="24"/>
          <w:szCs w:val="24"/>
        </w:rPr>
        <w:t xml:space="preserve"> </w:t>
      </w:r>
      <w:r w:rsidRPr="00FC34A5">
        <w:rPr>
          <w:rFonts w:ascii="Times New Roman" w:hAnsi="Times New Roman"/>
          <w:b/>
          <w:bCs/>
          <w:noProof/>
          <w:sz w:val="24"/>
          <w:szCs w:val="24"/>
        </w:rPr>
        <w:t>85</w:t>
      </w:r>
      <w:r w:rsidRPr="00FC34A5">
        <w:rPr>
          <w:rFonts w:ascii="Times New Roman" w:hAnsi="Times New Roman"/>
          <w:noProof/>
          <w:sz w:val="24"/>
          <w:szCs w:val="24"/>
        </w:rPr>
        <w:t xml:space="preserve"> (2014) 178 </w:t>
      </w:r>
      <w:r w:rsidRPr="00FC34A5">
        <w:rPr>
          <w:lang w:val="en-US"/>
        </w:rPr>
        <w:t>(</w:t>
      </w:r>
      <w:hyperlink r:id="rId23" w:history="1">
        <w:r w:rsidRPr="00FC34A5">
          <w:rPr>
            <w:color w:val="0563C1"/>
            <w:u w:val="single"/>
            <w:lang w:val="en-US"/>
          </w:rPr>
          <w:t>https://doi.org/10.1016/j.cep.2014.09.001</w:t>
        </w:r>
      </w:hyperlink>
      <w:r w:rsidRPr="00FC34A5">
        <w:rPr>
          <w:lang w:val="en-US"/>
        </w:rPr>
        <w:t>).</w:t>
      </w:r>
    </w:p>
    <w:p w:rsidR="00FC34A5" w:rsidRPr="00FC34A5" w:rsidRDefault="00FC34A5" w:rsidP="00FC34A5">
      <w:pPr>
        <w:widowControl w:val="0"/>
        <w:autoSpaceDE w:val="0"/>
        <w:autoSpaceDN w:val="0"/>
        <w:adjustRightInd w:val="0"/>
        <w:spacing w:after="0" w:line="360" w:lineRule="auto"/>
        <w:ind w:left="640" w:hanging="640"/>
        <w:rPr>
          <w:rFonts w:ascii="Times New Roman" w:hAnsi="Times New Roman"/>
          <w:noProof/>
          <w:sz w:val="24"/>
          <w:szCs w:val="24"/>
        </w:rPr>
      </w:pPr>
      <w:r w:rsidRPr="00FC34A5">
        <w:rPr>
          <w:rFonts w:ascii="Times New Roman" w:hAnsi="Times New Roman"/>
          <w:noProof/>
          <w:sz w:val="24"/>
          <w:szCs w:val="24"/>
        </w:rPr>
        <w:t xml:space="preserve">8. </w:t>
      </w:r>
      <w:r w:rsidRPr="00FC34A5">
        <w:rPr>
          <w:rFonts w:ascii="Times New Roman" w:hAnsi="Times New Roman"/>
          <w:noProof/>
          <w:sz w:val="24"/>
          <w:szCs w:val="24"/>
        </w:rPr>
        <w:tab/>
        <w:t xml:space="preserve">S. Hossain, I. Lee, S. M. Kim, K.-Y. Y. Kim, </w:t>
      </w:r>
      <w:r w:rsidRPr="00FC34A5">
        <w:rPr>
          <w:rFonts w:ascii="Times New Roman" w:hAnsi="Times New Roman"/>
          <w:i/>
          <w:iCs/>
          <w:noProof/>
          <w:sz w:val="24"/>
          <w:szCs w:val="24"/>
        </w:rPr>
        <w:t>Chem. Eng. J.</w:t>
      </w:r>
      <w:r w:rsidRPr="00FC34A5">
        <w:rPr>
          <w:rFonts w:ascii="Times New Roman" w:hAnsi="Times New Roman"/>
          <w:noProof/>
          <w:sz w:val="24"/>
          <w:szCs w:val="24"/>
        </w:rPr>
        <w:t xml:space="preserve"> </w:t>
      </w:r>
      <w:r w:rsidRPr="00FC34A5">
        <w:rPr>
          <w:rFonts w:ascii="Times New Roman" w:hAnsi="Times New Roman"/>
          <w:b/>
          <w:bCs/>
          <w:noProof/>
          <w:sz w:val="24"/>
          <w:szCs w:val="24"/>
        </w:rPr>
        <w:t>327</w:t>
      </w:r>
      <w:r w:rsidRPr="00FC34A5">
        <w:rPr>
          <w:rFonts w:ascii="Times New Roman" w:hAnsi="Times New Roman"/>
          <w:noProof/>
          <w:sz w:val="24"/>
          <w:szCs w:val="24"/>
        </w:rPr>
        <w:t xml:space="preserve"> (2017) 268 </w:t>
      </w:r>
      <w:r w:rsidRPr="00FC34A5">
        <w:rPr>
          <w:lang w:val="en-US"/>
        </w:rPr>
        <w:t>(</w:t>
      </w:r>
      <w:hyperlink r:id="rId24" w:history="1">
        <w:r w:rsidRPr="00FC34A5">
          <w:rPr>
            <w:color w:val="0563C1"/>
            <w:u w:val="single"/>
            <w:lang w:val="en-US"/>
          </w:rPr>
          <w:t>https://doi.org/10.1016/j.cej.2017.06.106</w:t>
        </w:r>
      </w:hyperlink>
      <w:r w:rsidRPr="00FC34A5">
        <w:rPr>
          <w:lang w:val="en-US"/>
        </w:rPr>
        <w:t>).</w:t>
      </w:r>
    </w:p>
    <w:p w:rsidR="00FC34A5" w:rsidRPr="00FC34A5" w:rsidRDefault="00FC34A5" w:rsidP="00FC34A5">
      <w:pPr>
        <w:widowControl w:val="0"/>
        <w:autoSpaceDE w:val="0"/>
        <w:autoSpaceDN w:val="0"/>
        <w:adjustRightInd w:val="0"/>
        <w:spacing w:after="0" w:line="360" w:lineRule="auto"/>
        <w:ind w:left="630" w:hanging="630"/>
        <w:rPr>
          <w:rFonts w:ascii="Times New Roman" w:hAnsi="Times New Roman"/>
          <w:noProof/>
          <w:sz w:val="24"/>
          <w:szCs w:val="24"/>
        </w:rPr>
      </w:pPr>
      <w:r w:rsidRPr="00FC34A5">
        <w:rPr>
          <w:rFonts w:ascii="Times New Roman" w:hAnsi="Times New Roman"/>
          <w:noProof/>
          <w:sz w:val="24"/>
          <w:szCs w:val="24"/>
        </w:rPr>
        <w:t xml:space="preserve">9. </w:t>
      </w:r>
      <w:r w:rsidRPr="00FC34A5">
        <w:rPr>
          <w:rFonts w:ascii="Times New Roman" w:hAnsi="Times New Roman"/>
          <w:noProof/>
          <w:sz w:val="24"/>
          <w:szCs w:val="24"/>
        </w:rPr>
        <w:tab/>
        <w:t xml:space="preserve">M. C. Fournier, L. Falk, J. Villermaux, </w:t>
      </w:r>
      <w:r w:rsidRPr="00FC34A5">
        <w:rPr>
          <w:rFonts w:ascii="Times New Roman" w:hAnsi="Times New Roman"/>
          <w:i/>
          <w:iCs/>
          <w:noProof/>
          <w:sz w:val="24"/>
          <w:szCs w:val="24"/>
        </w:rPr>
        <w:t>Chem. Eng. Sci.</w:t>
      </w:r>
      <w:r w:rsidRPr="00FC34A5">
        <w:rPr>
          <w:rFonts w:ascii="Times New Roman" w:hAnsi="Times New Roman"/>
          <w:noProof/>
          <w:sz w:val="24"/>
          <w:szCs w:val="24"/>
        </w:rPr>
        <w:t xml:space="preserve"> </w:t>
      </w:r>
      <w:r w:rsidRPr="00FC34A5">
        <w:rPr>
          <w:rFonts w:ascii="Times New Roman" w:hAnsi="Times New Roman"/>
          <w:b/>
          <w:bCs/>
          <w:noProof/>
          <w:sz w:val="24"/>
          <w:szCs w:val="24"/>
        </w:rPr>
        <w:t>51</w:t>
      </w:r>
      <w:r w:rsidRPr="00FC34A5">
        <w:rPr>
          <w:rFonts w:ascii="Times New Roman" w:hAnsi="Times New Roman"/>
          <w:noProof/>
          <w:sz w:val="24"/>
          <w:szCs w:val="24"/>
        </w:rPr>
        <w:t xml:space="preserve"> (1996) 5187 (</w:t>
      </w:r>
      <w:hyperlink r:id="rId25" w:history="1">
        <w:r w:rsidRPr="00FC34A5">
          <w:rPr>
            <w:color w:val="0563C1"/>
            <w:u w:val="single"/>
            <w:lang w:val="en-US"/>
          </w:rPr>
          <w:t>https://doi.org/10.1016/S0009-2509(96)00340-5</w:t>
        </w:r>
        <w:r w:rsidRPr="00FC34A5">
          <w:rPr>
            <w:lang w:val="en-US"/>
          </w:rPr>
          <w:t>)</w:t>
        </w:r>
      </w:hyperlink>
      <w:r w:rsidRPr="00FC34A5">
        <w:rPr>
          <w:lang w:val="en-US"/>
        </w:rPr>
        <w:t xml:space="preserve">. </w:t>
      </w:r>
    </w:p>
    <w:p w:rsidR="00FC34A5" w:rsidRPr="00FC34A5" w:rsidRDefault="00FC34A5" w:rsidP="00FC34A5">
      <w:pPr>
        <w:widowControl w:val="0"/>
        <w:autoSpaceDE w:val="0"/>
        <w:autoSpaceDN w:val="0"/>
        <w:adjustRightInd w:val="0"/>
        <w:spacing w:after="0" w:line="360" w:lineRule="auto"/>
        <w:ind w:left="640" w:hanging="640"/>
        <w:rPr>
          <w:rFonts w:ascii="Times New Roman" w:hAnsi="Times New Roman"/>
          <w:noProof/>
          <w:sz w:val="24"/>
          <w:szCs w:val="24"/>
        </w:rPr>
      </w:pPr>
      <w:r w:rsidRPr="00FC34A5">
        <w:rPr>
          <w:rFonts w:ascii="Times New Roman" w:hAnsi="Times New Roman"/>
          <w:noProof/>
          <w:sz w:val="24"/>
          <w:szCs w:val="24"/>
        </w:rPr>
        <w:t xml:space="preserve">10. </w:t>
      </w:r>
      <w:r w:rsidRPr="00FC34A5">
        <w:rPr>
          <w:rFonts w:ascii="Times New Roman" w:hAnsi="Times New Roman"/>
          <w:noProof/>
          <w:sz w:val="24"/>
          <w:szCs w:val="24"/>
        </w:rPr>
        <w:tab/>
        <w:t xml:space="preserve">K. Kunowa, S. Schmidt‐Lehr, W. Pauer, H. Moritz, C. Schwede, </w:t>
      </w:r>
      <w:r w:rsidRPr="00FC34A5">
        <w:rPr>
          <w:rFonts w:ascii="Times New Roman" w:hAnsi="Times New Roman"/>
          <w:i/>
          <w:iCs/>
          <w:noProof/>
          <w:sz w:val="24"/>
          <w:szCs w:val="24"/>
        </w:rPr>
        <w:t>Macromol. Symp.</w:t>
      </w:r>
      <w:r w:rsidRPr="00FC34A5">
        <w:rPr>
          <w:rFonts w:ascii="Times New Roman" w:hAnsi="Times New Roman"/>
          <w:noProof/>
          <w:sz w:val="24"/>
          <w:szCs w:val="24"/>
        </w:rPr>
        <w:t xml:space="preserve"> </w:t>
      </w:r>
      <w:r w:rsidRPr="00FC34A5">
        <w:rPr>
          <w:rFonts w:ascii="Times New Roman" w:hAnsi="Times New Roman"/>
          <w:b/>
          <w:bCs/>
          <w:noProof/>
          <w:sz w:val="24"/>
          <w:szCs w:val="24"/>
        </w:rPr>
        <w:t>259</w:t>
      </w:r>
      <w:r w:rsidRPr="00FC34A5">
        <w:rPr>
          <w:rFonts w:ascii="Times New Roman" w:hAnsi="Times New Roman"/>
          <w:noProof/>
          <w:sz w:val="24"/>
          <w:szCs w:val="24"/>
        </w:rPr>
        <w:t xml:space="preserve"> (2007) 32 </w:t>
      </w:r>
      <w:r w:rsidRPr="00FC34A5">
        <w:rPr>
          <w:lang w:val="en-US"/>
        </w:rPr>
        <w:t>(</w:t>
      </w:r>
      <w:hyperlink r:id="rId26" w:history="1">
        <w:r w:rsidRPr="00FC34A5">
          <w:rPr>
            <w:color w:val="0563C1"/>
            <w:u w:val="single"/>
            <w:lang w:val="en-US"/>
          </w:rPr>
          <w:t>https://doi.org/10.1002/masy.200751305</w:t>
        </w:r>
      </w:hyperlink>
      <w:r w:rsidRPr="00FC34A5">
        <w:rPr>
          <w:lang w:val="en-US"/>
        </w:rPr>
        <w:t>).</w:t>
      </w:r>
    </w:p>
    <w:p w:rsidR="00FC34A5" w:rsidRPr="00FC34A5" w:rsidRDefault="00FC34A5" w:rsidP="00FC34A5">
      <w:pPr>
        <w:widowControl w:val="0"/>
        <w:autoSpaceDE w:val="0"/>
        <w:autoSpaceDN w:val="0"/>
        <w:adjustRightInd w:val="0"/>
        <w:spacing w:after="0" w:line="360" w:lineRule="auto"/>
        <w:ind w:left="640" w:hanging="640"/>
        <w:rPr>
          <w:rFonts w:ascii="Times New Roman" w:hAnsi="Times New Roman"/>
          <w:noProof/>
          <w:sz w:val="24"/>
          <w:szCs w:val="24"/>
        </w:rPr>
      </w:pPr>
      <w:r w:rsidRPr="00FC34A5">
        <w:rPr>
          <w:rFonts w:ascii="Times New Roman" w:hAnsi="Times New Roman"/>
          <w:noProof/>
          <w:sz w:val="24"/>
          <w:szCs w:val="24"/>
        </w:rPr>
        <w:t xml:space="preserve">11. </w:t>
      </w:r>
      <w:r w:rsidRPr="00FC34A5">
        <w:rPr>
          <w:rFonts w:ascii="Times New Roman" w:hAnsi="Times New Roman"/>
          <w:noProof/>
          <w:sz w:val="24"/>
          <w:szCs w:val="24"/>
        </w:rPr>
        <w:tab/>
        <w:t xml:space="preserve">S. Asano, S. Yamada, T. Maki, Y. Muranaka, K. Mae, </w:t>
      </w:r>
      <w:r w:rsidRPr="00FC34A5">
        <w:rPr>
          <w:rFonts w:ascii="Times New Roman" w:hAnsi="Times New Roman"/>
          <w:i/>
          <w:iCs/>
          <w:noProof/>
          <w:sz w:val="24"/>
          <w:szCs w:val="24"/>
        </w:rPr>
        <w:t>React. Chem. Eng.</w:t>
      </w:r>
      <w:r w:rsidRPr="00FC34A5">
        <w:rPr>
          <w:rFonts w:ascii="Times New Roman" w:hAnsi="Times New Roman"/>
          <w:noProof/>
          <w:sz w:val="24"/>
          <w:szCs w:val="24"/>
        </w:rPr>
        <w:t xml:space="preserve"> </w:t>
      </w:r>
      <w:r w:rsidRPr="00FC34A5">
        <w:rPr>
          <w:rFonts w:ascii="Times New Roman" w:hAnsi="Times New Roman"/>
          <w:b/>
          <w:bCs/>
          <w:noProof/>
          <w:sz w:val="24"/>
          <w:szCs w:val="24"/>
        </w:rPr>
        <w:t>2</w:t>
      </w:r>
      <w:r w:rsidRPr="00FC34A5">
        <w:rPr>
          <w:rFonts w:ascii="Times New Roman" w:hAnsi="Times New Roman"/>
          <w:noProof/>
          <w:sz w:val="24"/>
          <w:szCs w:val="24"/>
        </w:rPr>
        <w:t xml:space="preserve"> (2017) 830 </w:t>
      </w:r>
      <w:r w:rsidRPr="00FC34A5">
        <w:rPr>
          <w:lang w:val="en-US"/>
        </w:rPr>
        <w:t>(</w:t>
      </w:r>
      <w:hyperlink r:id="rId27" w:history="1">
        <w:r w:rsidRPr="00FC34A5">
          <w:rPr>
            <w:color w:val="0563C1"/>
            <w:u w:val="single"/>
            <w:lang w:val="en-US"/>
          </w:rPr>
          <w:t>https://doi.org/10.1039/c7re00051k</w:t>
        </w:r>
      </w:hyperlink>
      <w:r w:rsidRPr="00FC34A5">
        <w:rPr>
          <w:lang w:val="en-US"/>
        </w:rPr>
        <w:t>).</w:t>
      </w:r>
    </w:p>
    <w:p w:rsidR="00FC34A5" w:rsidRPr="00FC34A5" w:rsidRDefault="00FC34A5" w:rsidP="00FC34A5">
      <w:pPr>
        <w:widowControl w:val="0"/>
        <w:autoSpaceDE w:val="0"/>
        <w:autoSpaceDN w:val="0"/>
        <w:adjustRightInd w:val="0"/>
        <w:spacing w:after="0" w:line="360" w:lineRule="auto"/>
        <w:ind w:left="640" w:hanging="640"/>
        <w:rPr>
          <w:rFonts w:ascii="Times New Roman" w:hAnsi="Times New Roman"/>
          <w:noProof/>
          <w:sz w:val="24"/>
          <w:szCs w:val="24"/>
        </w:rPr>
      </w:pPr>
      <w:r w:rsidRPr="00FC34A5">
        <w:rPr>
          <w:rFonts w:ascii="Times New Roman" w:hAnsi="Times New Roman"/>
          <w:noProof/>
          <w:sz w:val="24"/>
          <w:szCs w:val="24"/>
        </w:rPr>
        <w:t xml:space="preserve">12. </w:t>
      </w:r>
      <w:r w:rsidRPr="00FC34A5">
        <w:rPr>
          <w:rFonts w:ascii="Times New Roman" w:hAnsi="Times New Roman"/>
          <w:noProof/>
          <w:sz w:val="24"/>
          <w:szCs w:val="24"/>
        </w:rPr>
        <w:tab/>
        <w:t xml:space="preserve">O. Okwundu, M. Fuseini, “Mixing performance of micromixers by Villermaux-Dushman reaction protocol at low Reynolds Number” (2018) </w:t>
      </w:r>
      <w:r w:rsidRPr="00FC34A5">
        <w:rPr>
          <w:lang w:val="en-US"/>
        </w:rPr>
        <w:t>(</w:t>
      </w:r>
      <w:hyperlink r:id="rId28" w:history="1">
        <w:r w:rsidRPr="00FC34A5">
          <w:rPr>
            <w:color w:val="0563C1"/>
            <w:u w:val="single"/>
            <w:lang w:val="en-US"/>
          </w:rPr>
          <w:t>https://doi.org/10.13140/RG.2.2.33028.83847/1</w:t>
        </w:r>
      </w:hyperlink>
      <w:r w:rsidRPr="00FC34A5">
        <w:rPr>
          <w:lang w:val="en-US"/>
        </w:rPr>
        <w:t>).</w:t>
      </w:r>
    </w:p>
    <w:p w:rsidR="00FC34A5" w:rsidRPr="00FC34A5" w:rsidRDefault="00FC34A5" w:rsidP="00FC34A5">
      <w:pPr>
        <w:widowControl w:val="0"/>
        <w:autoSpaceDE w:val="0"/>
        <w:autoSpaceDN w:val="0"/>
        <w:adjustRightInd w:val="0"/>
        <w:spacing w:after="0" w:line="360" w:lineRule="auto"/>
        <w:ind w:left="640" w:hanging="640"/>
        <w:rPr>
          <w:rFonts w:ascii="Times New Roman" w:hAnsi="Times New Roman"/>
          <w:noProof/>
          <w:sz w:val="24"/>
          <w:szCs w:val="24"/>
        </w:rPr>
      </w:pPr>
      <w:r w:rsidRPr="00FC34A5">
        <w:rPr>
          <w:rFonts w:ascii="Times New Roman" w:hAnsi="Times New Roman"/>
          <w:noProof/>
          <w:sz w:val="24"/>
          <w:szCs w:val="24"/>
        </w:rPr>
        <w:t xml:space="preserve">13. </w:t>
      </w:r>
      <w:r w:rsidRPr="00FC34A5">
        <w:rPr>
          <w:rFonts w:ascii="Times New Roman" w:hAnsi="Times New Roman"/>
          <w:noProof/>
          <w:sz w:val="24"/>
          <w:szCs w:val="24"/>
        </w:rPr>
        <w:tab/>
        <w:t xml:space="preserve">J. R. Bourne, </w:t>
      </w:r>
      <w:r w:rsidRPr="00FC34A5">
        <w:rPr>
          <w:rFonts w:ascii="Times New Roman" w:hAnsi="Times New Roman"/>
          <w:i/>
          <w:iCs/>
          <w:noProof/>
          <w:sz w:val="24"/>
          <w:szCs w:val="24"/>
        </w:rPr>
        <w:t>Chem. Eng. J.</w:t>
      </w:r>
      <w:r w:rsidRPr="00FC34A5">
        <w:rPr>
          <w:rFonts w:ascii="Times New Roman" w:hAnsi="Times New Roman"/>
          <w:noProof/>
          <w:sz w:val="24"/>
          <w:szCs w:val="24"/>
        </w:rPr>
        <w:t xml:space="preserve"> </w:t>
      </w:r>
      <w:r w:rsidRPr="00FC34A5">
        <w:rPr>
          <w:rFonts w:ascii="Times New Roman" w:hAnsi="Times New Roman"/>
          <w:b/>
          <w:bCs/>
          <w:noProof/>
          <w:sz w:val="24"/>
          <w:szCs w:val="24"/>
        </w:rPr>
        <w:t>140</w:t>
      </w:r>
      <w:r w:rsidRPr="00FC34A5">
        <w:rPr>
          <w:rFonts w:ascii="Times New Roman" w:hAnsi="Times New Roman"/>
          <w:noProof/>
          <w:sz w:val="24"/>
          <w:szCs w:val="24"/>
        </w:rPr>
        <w:t xml:space="preserve"> (2008) 638 </w:t>
      </w:r>
      <w:r w:rsidRPr="00FC34A5">
        <w:rPr>
          <w:lang w:val="en-US"/>
        </w:rPr>
        <w:t>(</w:t>
      </w:r>
      <w:hyperlink r:id="rId29" w:history="1">
        <w:r w:rsidRPr="00FC34A5">
          <w:rPr>
            <w:color w:val="0563C1"/>
            <w:u w:val="single"/>
            <w:lang w:val="en-US"/>
          </w:rPr>
          <w:t>https://doi.org/10.1016/j.cej.2008.01.031</w:t>
        </w:r>
      </w:hyperlink>
      <w:r w:rsidRPr="00FC34A5">
        <w:rPr>
          <w:lang w:val="en-US"/>
        </w:rPr>
        <w:t>).</w:t>
      </w:r>
    </w:p>
    <w:p w:rsidR="00FC34A5" w:rsidRPr="00FC34A5" w:rsidRDefault="00FC34A5" w:rsidP="00FC34A5">
      <w:pPr>
        <w:widowControl w:val="0"/>
        <w:autoSpaceDE w:val="0"/>
        <w:autoSpaceDN w:val="0"/>
        <w:adjustRightInd w:val="0"/>
        <w:spacing w:after="0" w:line="360" w:lineRule="auto"/>
        <w:ind w:left="640" w:hanging="640"/>
        <w:rPr>
          <w:rFonts w:ascii="Times New Roman" w:hAnsi="Times New Roman"/>
          <w:noProof/>
          <w:sz w:val="24"/>
          <w:szCs w:val="24"/>
        </w:rPr>
      </w:pPr>
      <w:r w:rsidRPr="00FC34A5">
        <w:rPr>
          <w:rFonts w:ascii="Times New Roman" w:hAnsi="Times New Roman"/>
          <w:noProof/>
          <w:sz w:val="24"/>
          <w:szCs w:val="24"/>
        </w:rPr>
        <w:lastRenderedPageBreak/>
        <w:t xml:space="preserve">14. </w:t>
      </w:r>
      <w:r w:rsidRPr="00FC34A5">
        <w:rPr>
          <w:rFonts w:ascii="Times New Roman" w:hAnsi="Times New Roman"/>
          <w:noProof/>
          <w:sz w:val="24"/>
          <w:szCs w:val="24"/>
        </w:rPr>
        <w:tab/>
        <w:t xml:space="preserve">M. Engler, N. Kockmann, T. Kiefer, P. Woias, </w:t>
      </w:r>
      <w:r w:rsidRPr="00FC34A5">
        <w:rPr>
          <w:rFonts w:ascii="Times New Roman" w:hAnsi="Times New Roman"/>
          <w:i/>
          <w:iCs/>
          <w:noProof/>
          <w:sz w:val="24"/>
          <w:szCs w:val="24"/>
        </w:rPr>
        <w:t>Chem. Eng. J.</w:t>
      </w:r>
      <w:r w:rsidRPr="00FC34A5">
        <w:rPr>
          <w:rFonts w:ascii="Times New Roman" w:hAnsi="Times New Roman"/>
          <w:noProof/>
          <w:sz w:val="24"/>
          <w:szCs w:val="24"/>
        </w:rPr>
        <w:t xml:space="preserve"> </w:t>
      </w:r>
      <w:r w:rsidRPr="00FC34A5">
        <w:rPr>
          <w:rFonts w:ascii="Times New Roman" w:hAnsi="Times New Roman"/>
          <w:b/>
          <w:bCs/>
          <w:noProof/>
          <w:sz w:val="24"/>
          <w:szCs w:val="24"/>
        </w:rPr>
        <w:t>101</w:t>
      </w:r>
      <w:r w:rsidRPr="00FC34A5">
        <w:rPr>
          <w:rFonts w:ascii="Times New Roman" w:hAnsi="Times New Roman"/>
          <w:noProof/>
          <w:sz w:val="24"/>
          <w:szCs w:val="24"/>
        </w:rPr>
        <w:t xml:space="preserve"> (2004) 315 </w:t>
      </w:r>
      <w:r w:rsidRPr="00FC34A5">
        <w:rPr>
          <w:lang w:val="en-US"/>
        </w:rPr>
        <w:t>(</w:t>
      </w:r>
      <w:hyperlink r:id="rId30" w:history="1">
        <w:r w:rsidRPr="00FC34A5">
          <w:rPr>
            <w:color w:val="0563C1"/>
            <w:u w:val="single"/>
            <w:lang w:val="en-US"/>
          </w:rPr>
          <w:t>https://doi.org/10.1016/j.cej.2003.10.017</w:t>
        </w:r>
      </w:hyperlink>
      <w:r w:rsidRPr="00FC34A5">
        <w:rPr>
          <w:lang w:val="en-US"/>
        </w:rPr>
        <w:t>).</w:t>
      </w:r>
    </w:p>
    <w:p w:rsidR="00FC34A5" w:rsidRPr="00FC34A5" w:rsidRDefault="00FC34A5" w:rsidP="00FC34A5">
      <w:pPr>
        <w:widowControl w:val="0"/>
        <w:autoSpaceDE w:val="0"/>
        <w:autoSpaceDN w:val="0"/>
        <w:adjustRightInd w:val="0"/>
        <w:spacing w:after="0" w:line="360" w:lineRule="auto"/>
        <w:ind w:left="640" w:hanging="640"/>
        <w:rPr>
          <w:rFonts w:ascii="Times New Roman" w:hAnsi="Times New Roman"/>
          <w:noProof/>
          <w:sz w:val="24"/>
          <w:szCs w:val="24"/>
        </w:rPr>
      </w:pPr>
      <w:r w:rsidRPr="00FC34A5">
        <w:rPr>
          <w:rFonts w:ascii="Times New Roman" w:hAnsi="Times New Roman"/>
          <w:noProof/>
          <w:sz w:val="24"/>
          <w:szCs w:val="24"/>
        </w:rPr>
        <w:t xml:space="preserve">15. </w:t>
      </w:r>
      <w:r w:rsidRPr="00FC34A5">
        <w:rPr>
          <w:rFonts w:ascii="Times New Roman" w:hAnsi="Times New Roman"/>
          <w:noProof/>
          <w:sz w:val="24"/>
          <w:szCs w:val="24"/>
        </w:rPr>
        <w:tab/>
        <w:t xml:space="preserve">N. Kockmann, T. Kiefer, M. Engler, P. Woias, </w:t>
      </w:r>
      <w:r w:rsidRPr="00FC34A5">
        <w:rPr>
          <w:rFonts w:ascii="Times New Roman" w:hAnsi="Times New Roman"/>
          <w:i/>
          <w:iCs/>
          <w:noProof/>
          <w:sz w:val="24"/>
          <w:szCs w:val="24"/>
        </w:rPr>
        <w:t>Sensors Actuators, B Chem.</w:t>
      </w:r>
      <w:r w:rsidRPr="00FC34A5">
        <w:rPr>
          <w:rFonts w:ascii="Times New Roman" w:hAnsi="Times New Roman"/>
          <w:noProof/>
          <w:sz w:val="24"/>
          <w:szCs w:val="24"/>
        </w:rPr>
        <w:t xml:space="preserve"> </w:t>
      </w:r>
      <w:r w:rsidRPr="00FC34A5">
        <w:rPr>
          <w:rFonts w:ascii="Times New Roman" w:hAnsi="Times New Roman"/>
          <w:b/>
          <w:bCs/>
          <w:noProof/>
          <w:sz w:val="24"/>
          <w:szCs w:val="24"/>
        </w:rPr>
        <w:t>117</w:t>
      </w:r>
      <w:r w:rsidRPr="00FC34A5">
        <w:rPr>
          <w:rFonts w:ascii="Times New Roman" w:hAnsi="Times New Roman"/>
          <w:noProof/>
          <w:sz w:val="24"/>
          <w:szCs w:val="24"/>
        </w:rPr>
        <w:t xml:space="preserve"> (2006) 495 </w:t>
      </w:r>
      <w:r w:rsidRPr="00FC34A5">
        <w:rPr>
          <w:lang w:val="en-US"/>
        </w:rPr>
        <w:t>(</w:t>
      </w:r>
      <w:hyperlink r:id="rId31" w:history="1">
        <w:r w:rsidRPr="00FC34A5">
          <w:rPr>
            <w:color w:val="0563C1"/>
            <w:u w:val="single"/>
            <w:lang w:val="en-US"/>
          </w:rPr>
          <w:t>https://doi.org/10.1016/j.snb.2006.01.004</w:t>
        </w:r>
      </w:hyperlink>
      <w:r w:rsidRPr="00FC34A5">
        <w:rPr>
          <w:lang w:val="en-US"/>
        </w:rPr>
        <w:t>).</w:t>
      </w:r>
    </w:p>
    <w:p w:rsidR="00FC34A5" w:rsidRPr="00FC34A5" w:rsidRDefault="00FC34A5" w:rsidP="00FC34A5">
      <w:pPr>
        <w:widowControl w:val="0"/>
        <w:autoSpaceDE w:val="0"/>
        <w:autoSpaceDN w:val="0"/>
        <w:adjustRightInd w:val="0"/>
        <w:spacing w:after="0" w:line="360" w:lineRule="auto"/>
        <w:ind w:left="640" w:hanging="640"/>
        <w:rPr>
          <w:rFonts w:ascii="Times New Roman" w:hAnsi="Times New Roman"/>
          <w:noProof/>
          <w:sz w:val="24"/>
          <w:szCs w:val="24"/>
        </w:rPr>
      </w:pPr>
      <w:r w:rsidRPr="00FC34A5">
        <w:rPr>
          <w:rFonts w:ascii="Times New Roman" w:hAnsi="Times New Roman"/>
          <w:noProof/>
          <w:sz w:val="24"/>
          <w:szCs w:val="24"/>
        </w:rPr>
        <w:t xml:space="preserve">16. </w:t>
      </w:r>
      <w:r w:rsidRPr="00FC34A5">
        <w:rPr>
          <w:rFonts w:ascii="Times New Roman" w:hAnsi="Times New Roman"/>
          <w:noProof/>
          <w:sz w:val="24"/>
          <w:szCs w:val="24"/>
        </w:rPr>
        <w:tab/>
        <w:t xml:space="preserve">N. Kockmann, C. Foll, P. Woias, </w:t>
      </w:r>
      <w:r w:rsidRPr="00FC34A5">
        <w:rPr>
          <w:rFonts w:ascii="Times New Roman" w:hAnsi="Times New Roman"/>
          <w:i/>
          <w:iCs/>
          <w:noProof/>
          <w:sz w:val="24"/>
          <w:szCs w:val="24"/>
        </w:rPr>
        <w:t>Microfluid. BioMEMS, Med. Microsystems</w:t>
      </w:r>
      <w:r w:rsidRPr="00FC34A5">
        <w:rPr>
          <w:rFonts w:ascii="Times New Roman" w:hAnsi="Times New Roman"/>
          <w:noProof/>
          <w:sz w:val="24"/>
          <w:szCs w:val="24"/>
        </w:rPr>
        <w:t xml:space="preserve">. </w:t>
      </w:r>
      <w:r w:rsidRPr="00FC34A5">
        <w:rPr>
          <w:rFonts w:ascii="Times New Roman" w:hAnsi="Times New Roman"/>
          <w:b/>
          <w:bCs/>
          <w:noProof/>
          <w:sz w:val="24"/>
          <w:szCs w:val="24"/>
        </w:rPr>
        <w:t>4982</w:t>
      </w:r>
      <w:r w:rsidRPr="00FC34A5">
        <w:rPr>
          <w:rFonts w:ascii="Times New Roman" w:hAnsi="Times New Roman"/>
          <w:noProof/>
          <w:sz w:val="24"/>
          <w:szCs w:val="24"/>
        </w:rPr>
        <w:t xml:space="preserve"> </w:t>
      </w:r>
      <w:r w:rsidRPr="00FC34A5">
        <w:rPr>
          <w:lang w:val="en-US"/>
        </w:rPr>
        <w:t>(</w:t>
      </w:r>
      <w:hyperlink r:id="rId32" w:history="1">
        <w:r w:rsidRPr="00FC34A5">
          <w:rPr>
            <w:color w:val="0563C1"/>
            <w:u w:val="single"/>
            <w:lang w:val="en-US"/>
          </w:rPr>
          <w:t>https://doi.org/10.1117/12.478157</w:t>
        </w:r>
      </w:hyperlink>
      <w:r w:rsidRPr="00FC34A5">
        <w:rPr>
          <w:lang w:val="en-US"/>
        </w:rPr>
        <w:t>).</w:t>
      </w:r>
    </w:p>
    <w:p w:rsidR="00FC34A5" w:rsidRPr="00FC34A5" w:rsidRDefault="00FC34A5" w:rsidP="00FC34A5">
      <w:pPr>
        <w:widowControl w:val="0"/>
        <w:autoSpaceDE w:val="0"/>
        <w:autoSpaceDN w:val="0"/>
        <w:adjustRightInd w:val="0"/>
        <w:spacing w:after="0" w:line="360" w:lineRule="auto"/>
        <w:ind w:left="640" w:hanging="640"/>
        <w:rPr>
          <w:rFonts w:ascii="Times New Roman" w:hAnsi="Times New Roman"/>
          <w:noProof/>
          <w:sz w:val="24"/>
          <w:szCs w:val="24"/>
        </w:rPr>
      </w:pPr>
      <w:r w:rsidRPr="00FC34A5">
        <w:rPr>
          <w:rFonts w:ascii="Times New Roman" w:hAnsi="Times New Roman"/>
          <w:noProof/>
          <w:sz w:val="24"/>
          <w:szCs w:val="24"/>
        </w:rPr>
        <w:t xml:space="preserve">17. </w:t>
      </w:r>
      <w:r w:rsidRPr="00FC34A5">
        <w:rPr>
          <w:rFonts w:ascii="Times New Roman" w:hAnsi="Times New Roman"/>
          <w:noProof/>
          <w:sz w:val="24"/>
          <w:szCs w:val="24"/>
        </w:rPr>
        <w:tab/>
        <w:t xml:space="preserve">A. Soleymani, E. Kolehmainen, I. Turunen, </w:t>
      </w:r>
      <w:r w:rsidRPr="00FC34A5">
        <w:rPr>
          <w:rFonts w:ascii="Times New Roman" w:hAnsi="Times New Roman"/>
          <w:i/>
          <w:iCs/>
          <w:noProof/>
          <w:sz w:val="24"/>
          <w:szCs w:val="24"/>
        </w:rPr>
        <w:t>Chem. Eng. J.</w:t>
      </w:r>
      <w:r w:rsidRPr="00FC34A5">
        <w:rPr>
          <w:rFonts w:ascii="Times New Roman" w:hAnsi="Times New Roman"/>
          <w:noProof/>
          <w:sz w:val="24"/>
          <w:szCs w:val="24"/>
        </w:rPr>
        <w:t xml:space="preserve"> </w:t>
      </w:r>
      <w:r w:rsidRPr="00FC34A5">
        <w:rPr>
          <w:rFonts w:ascii="Times New Roman" w:hAnsi="Times New Roman"/>
          <w:b/>
          <w:bCs/>
          <w:noProof/>
          <w:sz w:val="24"/>
          <w:szCs w:val="24"/>
        </w:rPr>
        <w:t>135</w:t>
      </w:r>
      <w:r w:rsidRPr="00FC34A5">
        <w:rPr>
          <w:rFonts w:ascii="Times New Roman" w:hAnsi="Times New Roman"/>
          <w:noProof/>
          <w:sz w:val="24"/>
          <w:szCs w:val="24"/>
        </w:rPr>
        <w:t xml:space="preserve"> (2008) S219 </w:t>
      </w:r>
      <w:r w:rsidRPr="00FC34A5">
        <w:rPr>
          <w:lang w:val="en-US"/>
        </w:rPr>
        <w:t>(</w:t>
      </w:r>
      <w:hyperlink r:id="rId33" w:history="1">
        <w:r w:rsidRPr="00FC34A5">
          <w:rPr>
            <w:color w:val="0563C1"/>
            <w:u w:val="single"/>
            <w:lang w:val="en-US"/>
          </w:rPr>
          <w:t>https://doi.org/10.1016/j.cej.2007.07.048</w:t>
        </w:r>
      </w:hyperlink>
      <w:r w:rsidRPr="00FC34A5">
        <w:rPr>
          <w:lang w:val="en-US"/>
        </w:rPr>
        <w:t>).</w:t>
      </w:r>
    </w:p>
    <w:p w:rsidR="00FC34A5" w:rsidRPr="00FC34A5" w:rsidRDefault="00FC34A5" w:rsidP="00FC34A5">
      <w:pPr>
        <w:widowControl w:val="0"/>
        <w:autoSpaceDE w:val="0"/>
        <w:autoSpaceDN w:val="0"/>
        <w:adjustRightInd w:val="0"/>
        <w:spacing w:after="0" w:line="360" w:lineRule="auto"/>
        <w:ind w:left="640" w:hanging="640"/>
        <w:rPr>
          <w:rFonts w:ascii="Times New Roman" w:hAnsi="Times New Roman"/>
          <w:noProof/>
          <w:sz w:val="24"/>
          <w:szCs w:val="24"/>
        </w:rPr>
      </w:pPr>
      <w:r w:rsidRPr="00FC34A5">
        <w:rPr>
          <w:rFonts w:ascii="Times New Roman" w:hAnsi="Times New Roman"/>
          <w:noProof/>
          <w:sz w:val="24"/>
          <w:szCs w:val="24"/>
        </w:rPr>
        <w:t xml:space="preserve">18. </w:t>
      </w:r>
      <w:r w:rsidRPr="00FC34A5">
        <w:rPr>
          <w:rFonts w:ascii="Times New Roman" w:hAnsi="Times New Roman"/>
          <w:noProof/>
          <w:sz w:val="24"/>
          <w:szCs w:val="24"/>
        </w:rPr>
        <w:tab/>
        <w:t xml:space="preserve">N. Aoki, R. Umei, A. Yoshida, K. Mae, </w:t>
      </w:r>
      <w:r w:rsidRPr="00FC34A5">
        <w:rPr>
          <w:rFonts w:ascii="Times New Roman" w:hAnsi="Times New Roman"/>
          <w:i/>
          <w:iCs/>
          <w:noProof/>
          <w:sz w:val="24"/>
          <w:szCs w:val="24"/>
        </w:rPr>
        <w:t>Chem. Eng. J.</w:t>
      </w:r>
      <w:r w:rsidRPr="00FC34A5">
        <w:rPr>
          <w:rFonts w:ascii="Times New Roman" w:hAnsi="Times New Roman"/>
          <w:noProof/>
          <w:sz w:val="24"/>
          <w:szCs w:val="24"/>
        </w:rPr>
        <w:t xml:space="preserve"> </w:t>
      </w:r>
      <w:r w:rsidRPr="00FC34A5">
        <w:rPr>
          <w:rFonts w:ascii="Times New Roman" w:hAnsi="Times New Roman"/>
          <w:b/>
          <w:bCs/>
          <w:noProof/>
          <w:sz w:val="24"/>
          <w:szCs w:val="24"/>
        </w:rPr>
        <w:t>167</w:t>
      </w:r>
      <w:r w:rsidRPr="00FC34A5">
        <w:rPr>
          <w:rFonts w:ascii="Times New Roman" w:hAnsi="Times New Roman"/>
          <w:noProof/>
          <w:sz w:val="24"/>
          <w:szCs w:val="24"/>
        </w:rPr>
        <w:t xml:space="preserve"> (2011) 643 </w:t>
      </w:r>
      <w:r w:rsidRPr="00FC34A5">
        <w:rPr>
          <w:lang w:val="en-US"/>
        </w:rPr>
        <w:t>(</w:t>
      </w:r>
      <w:hyperlink r:id="rId34" w:history="1">
        <w:r w:rsidRPr="00FC34A5">
          <w:rPr>
            <w:color w:val="0563C1"/>
            <w:u w:val="single"/>
            <w:lang w:val="en-US"/>
          </w:rPr>
          <w:t>https://doi.org/10.1016/j.cej.2010.08.084</w:t>
        </w:r>
      </w:hyperlink>
      <w:r w:rsidRPr="00FC34A5">
        <w:rPr>
          <w:lang w:val="en-US"/>
        </w:rPr>
        <w:t>).</w:t>
      </w:r>
    </w:p>
    <w:p w:rsidR="00FC34A5" w:rsidRPr="00FC34A5" w:rsidRDefault="00FC34A5" w:rsidP="00FC34A5">
      <w:pPr>
        <w:widowControl w:val="0"/>
        <w:autoSpaceDE w:val="0"/>
        <w:autoSpaceDN w:val="0"/>
        <w:adjustRightInd w:val="0"/>
        <w:spacing w:after="0" w:line="360" w:lineRule="auto"/>
        <w:ind w:left="640" w:hanging="640"/>
        <w:rPr>
          <w:rFonts w:ascii="Times New Roman" w:hAnsi="Times New Roman"/>
          <w:noProof/>
          <w:sz w:val="24"/>
          <w:szCs w:val="24"/>
        </w:rPr>
      </w:pPr>
      <w:r w:rsidRPr="00FC34A5">
        <w:rPr>
          <w:rFonts w:ascii="Times New Roman" w:hAnsi="Times New Roman"/>
          <w:noProof/>
          <w:sz w:val="24"/>
          <w:szCs w:val="24"/>
        </w:rPr>
        <w:t xml:space="preserve">19. </w:t>
      </w:r>
      <w:r w:rsidRPr="00FC34A5">
        <w:rPr>
          <w:rFonts w:ascii="Times New Roman" w:hAnsi="Times New Roman"/>
          <w:noProof/>
          <w:sz w:val="24"/>
          <w:szCs w:val="24"/>
        </w:rPr>
        <w:tab/>
        <w:t xml:space="preserve">O. Jafari, M. Rahimi, F. H. Kakavandi, </w:t>
      </w:r>
      <w:r w:rsidRPr="00FC34A5">
        <w:rPr>
          <w:rFonts w:ascii="Times New Roman" w:hAnsi="Times New Roman"/>
          <w:i/>
          <w:iCs/>
          <w:noProof/>
          <w:sz w:val="24"/>
          <w:szCs w:val="24"/>
        </w:rPr>
        <w:t>Chem. Eng. Process. Process Intensif.</w:t>
      </w:r>
      <w:r w:rsidRPr="00FC34A5">
        <w:rPr>
          <w:rFonts w:ascii="Times New Roman" w:hAnsi="Times New Roman"/>
          <w:noProof/>
          <w:sz w:val="24"/>
          <w:szCs w:val="24"/>
        </w:rPr>
        <w:t xml:space="preserve"> </w:t>
      </w:r>
      <w:r w:rsidRPr="00FC34A5">
        <w:rPr>
          <w:rFonts w:ascii="Times New Roman" w:hAnsi="Times New Roman"/>
          <w:b/>
          <w:bCs/>
          <w:noProof/>
          <w:sz w:val="24"/>
          <w:szCs w:val="24"/>
        </w:rPr>
        <w:t>101</w:t>
      </w:r>
      <w:r w:rsidRPr="00FC34A5">
        <w:rPr>
          <w:rFonts w:ascii="Times New Roman" w:hAnsi="Times New Roman"/>
          <w:noProof/>
          <w:sz w:val="24"/>
          <w:szCs w:val="24"/>
        </w:rPr>
        <w:t xml:space="preserve"> (2016) 33 </w:t>
      </w:r>
      <w:r w:rsidRPr="00FC34A5">
        <w:rPr>
          <w:lang w:val="en-US"/>
        </w:rPr>
        <w:t>(</w:t>
      </w:r>
      <w:hyperlink r:id="rId35" w:history="1">
        <w:r w:rsidRPr="00FC34A5">
          <w:rPr>
            <w:color w:val="0563C1"/>
            <w:u w:val="single"/>
            <w:lang w:val="en-US"/>
          </w:rPr>
          <w:t>https://doi.org/10.1016/j.cep.2015.12.013</w:t>
        </w:r>
      </w:hyperlink>
      <w:r w:rsidRPr="00FC34A5">
        <w:rPr>
          <w:lang w:val="en-US"/>
        </w:rPr>
        <w:t>).</w:t>
      </w:r>
    </w:p>
    <w:p w:rsidR="00FC34A5" w:rsidRPr="00FC34A5" w:rsidRDefault="00FC34A5" w:rsidP="00FC34A5">
      <w:pPr>
        <w:widowControl w:val="0"/>
        <w:autoSpaceDE w:val="0"/>
        <w:autoSpaceDN w:val="0"/>
        <w:adjustRightInd w:val="0"/>
        <w:spacing w:after="0" w:line="360" w:lineRule="auto"/>
        <w:ind w:left="640" w:hanging="640"/>
        <w:rPr>
          <w:rFonts w:ascii="Times New Roman" w:hAnsi="Times New Roman"/>
          <w:noProof/>
          <w:sz w:val="24"/>
        </w:rPr>
      </w:pPr>
      <w:r w:rsidRPr="00FC34A5">
        <w:rPr>
          <w:rFonts w:ascii="Times New Roman" w:hAnsi="Times New Roman"/>
          <w:noProof/>
          <w:sz w:val="24"/>
          <w:szCs w:val="24"/>
        </w:rPr>
        <w:t xml:space="preserve">20. </w:t>
      </w:r>
      <w:r w:rsidRPr="00FC34A5">
        <w:rPr>
          <w:rFonts w:ascii="Times New Roman" w:hAnsi="Times New Roman"/>
          <w:noProof/>
          <w:sz w:val="24"/>
          <w:szCs w:val="24"/>
        </w:rPr>
        <w:tab/>
        <w:t xml:space="preserve">J. R. Welty, C. E. Wicks, R. E. Wilson, G. L. Rorrer, </w:t>
      </w:r>
      <w:r w:rsidRPr="00FC34A5">
        <w:rPr>
          <w:rFonts w:ascii="Times New Roman" w:hAnsi="Times New Roman"/>
          <w:i/>
          <w:iCs/>
          <w:noProof/>
          <w:sz w:val="24"/>
          <w:szCs w:val="24"/>
        </w:rPr>
        <w:t>Fundamentals of Momentum, Heat and Mass Transfer</w:t>
      </w:r>
      <w:r w:rsidRPr="00FC34A5">
        <w:rPr>
          <w:rFonts w:ascii="Times New Roman" w:hAnsi="Times New Roman"/>
          <w:noProof/>
          <w:sz w:val="24"/>
          <w:szCs w:val="24"/>
        </w:rPr>
        <w:t xml:space="preserve"> (John Wiley &amp; Sons Inc., ed. 5, 2007).</w:t>
      </w:r>
    </w:p>
    <w:p w:rsidR="00FC34A5" w:rsidRPr="00FC34A5" w:rsidRDefault="00FC34A5" w:rsidP="00FC34A5">
      <w:pPr>
        <w:widowControl w:val="0"/>
        <w:autoSpaceDE w:val="0"/>
        <w:autoSpaceDN w:val="0"/>
        <w:adjustRightInd w:val="0"/>
        <w:spacing w:after="0" w:line="360" w:lineRule="auto"/>
        <w:ind w:left="640" w:hanging="640"/>
        <w:rPr>
          <w:color w:val="0563C1"/>
          <w:u w:val="single"/>
          <w:lang w:val="en-US"/>
        </w:rPr>
      </w:pPr>
      <w:r w:rsidRPr="00FC34A5">
        <w:rPr>
          <w:rFonts w:ascii="Times New Roman" w:hAnsi="Times New Roman"/>
          <w:b/>
          <w:sz w:val="24"/>
          <w:szCs w:val="24"/>
          <w:lang w:val="en-US"/>
        </w:rPr>
        <w:fldChar w:fldCharType="end"/>
      </w:r>
      <w:r w:rsidRPr="001312F9">
        <w:rPr>
          <w:rFonts w:ascii="Times New Roman" w:hAnsi="Times New Roman"/>
          <w:noProof/>
          <w:sz w:val="24"/>
          <w:szCs w:val="24"/>
        </w:rPr>
        <w:t>21.</w:t>
      </w:r>
      <w:r w:rsidRPr="001312F9">
        <w:rPr>
          <w:rFonts w:ascii="Times New Roman" w:hAnsi="Times New Roman"/>
          <w:noProof/>
          <w:sz w:val="24"/>
          <w:szCs w:val="24"/>
        </w:rPr>
        <w:tab/>
        <w:t xml:space="preserve">Zhao, Y., Chen, G. &amp; Yuan, Q. Liquid–liquid two-phase mass transfer in the T-junction microchannels. </w:t>
      </w:r>
      <w:r w:rsidRPr="001312F9">
        <w:rPr>
          <w:rFonts w:ascii="Times New Roman" w:hAnsi="Times New Roman"/>
          <w:i/>
          <w:iCs/>
          <w:noProof/>
          <w:sz w:val="24"/>
          <w:szCs w:val="24"/>
        </w:rPr>
        <w:t>AIChE J.</w:t>
      </w:r>
      <w:r w:rsidRPr="001312F9">
        <w:rPr>
          <w:rFonts w:ascii="Times New Roman" w:hAnsi="Times New Roman"/>
          <w:noProof/>
          <w:sz w:val="24"/>
          <w:szCs w:val="24"/>
        </w:rPr>
        <w:t xml:space="preserve"> </w:t>
      </w:r>
      <w:r w:rsidRPr="001312F9">
        <w:rPr>
          <w:rFonts w:ascii="Times New Roman" w:hAnsi="Times New Roman"/>
          <w:b/>
          <w:bCs/>
          <w:noProof/>
          <w:sz w:val="24"/>
          <w:szCs w:val="24"/>
        </w:rPr>
        <w:t>53</w:t>
      </w:r>
      <w:r w:rsidRPr="001312F9">
        <w:rPr>
          <w:rFonts w:ascii="Times New Roman" w:hAnsi="Times New Roman"/>
          <w:noProof/>
          <w:sz w:val="24"/>
          <w:szCs w:val="24"/>
        </w:rPr>
        <w:t xml:space="preserve"> </w:t>
      </w:r>
      <w:r>
        <w:rPr>
          <w:rFonts w:ascii="Times New Roman" w:hAnsi="Times New Roman"/>
          <w:noProof/>
          <w:sz w:val="24"/>
          <w:szCs w:val="24"/>
        </w:rPr>
        <w:t>(2007)</w:t>
      </w:r>
      <w:r w:rsidRPr="00FC34A5">
        <w:rPr>
          <w:rFonts w:ascii="Times New Roman" w:hAnsi="Times New Roman"/>
          <w:noProof/>
          <w:sz w:val="24"/>
          <w:szCs w:val="24"/>
        </w:rPr>
        <w:t xml:space="preserve"> </w:t>
      </w:r>
      <w:r w:rsidRPr="001312F9">
        <w:rPr>
          <w:rFonts w:ascii="Times New Roman" w:hAnsi="Times New Roman"/>
          <w:noProof/>
          <w:sz w:val="24"/>
          <w:szCs w:val="24"/>
        </w:rPr>
        <w:t>3042–3053</w:t>
      </w:r>
      <w:r>
        <w:rPr>
          <w:rFonts w:ascii="Times New Roman" w:hAnsi="Times New Roman"/>
          <w:noProof/>
          <w:sz w:val="24"/>
          <w:szCs w:val="24"/>
        </w:rPr>
        <w:t xml:space="preserve"> </w:t>
      </w:r>
      <w:r w:rsidRPr="00FC34A5">
        <w:rPr>
          <w:lang w:val="en-US"/>
        </w:rPr>
        <w:t>(</w:t>
      </w:r>
      <w:hyperlink r:id="rId36" w:history="1">
        <w:r w:rsidR="007902FB" w:rsidRPr="0025040C">
          <w:rPr>
            <w:rStyle w:val="Hyperlink"/>
            <w:lang w:val="en-US"/>
          </w:rPr>
          <w:t>https://doi.org/10.100</w:t>
        </w:r>
        <w:r w:rsidR="007902FB" w:rsidRPr="0025040C">
          <w:rPr>
            <w:rStyle w:val="Hyperlink"/>
            <w:lang w:val="en-US"/>
          </w:rPr>
          <w:t>2</w:t>
        </w:r>
        <w:r w:rsidR="007902FB" w:rsidRPr="0025040C">
          <w:rPr>
            <w:rStyle w:val="Hyperlink"/>
            <w:lang w:val="en-US"/>
          </w:rPr>
          <w:t>/aic.11333</w:t>
        </w:r>
      </w:hyperlink>
      <w:r w:rsidRPr="00FC34A5">
        <w:rPr>
          <w:lang w:val="en-US"/>
        </w:rPr>
        <w:t>).</w:t>
      </w:r>
    </w:p>
    <w:p w:rsidR="00FC34A5" w:rsidRDefault="00FC34A5" w:rsidP="00FC34A5">
      <w:pPr>
        <w:spacing w:line="360" w:lineRule="auto"/>
        <w:rPr>
          <w:rFonts w:ascii="Times New Roman" w:hAnsi="Times New Roman"/>
          <w:sz w:val="24"/>
          <w:szCs w:val="24"/>
          <w:lang w:val="en-US"/>
        </w:rPr>
      </w:pPr>
    </w:p>
    <w:sectPr w:rsidR="00FC34A5" w:rsidSect="003000F2">
      <w:footerReference w:type="first" r:id="rId37"/>
      <w:endnotePr>
        <w:numFmt w:val="decimal"/>
      </w:endnotePr>
      <w:pgSz w:w="11907" w:h="16840" w:code="9"/>
      <w:pgMar w:top="1418" w:right="1418" w:bottom="1418" w:left="1418" w:header="851" w:footer="851"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1A65" w:rsidRDefault="00CF1A65" w:rsidP="00501847">
      <w:pPr>
        <w:spacing w:after="0" w:line="240" w:lineRule="auto"/>
      </w:pPr>
      <w:r>
        <w:separator/>
      </w:r>
    </w:p>
  </w:endnote>
  <w:endnote w:type="continuationSeparator" w:id="0">
    <w:p w:rsidR="00CF1A65" w:rsidRDefault="00CF1A65" w:rsidP="005018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embedRegular r:id="rId1" w:fontKey="{616291B5-47AB-4401-8929-406DDEE36354}"/>
    <w:embedBold r:id="rId2" w:fontKey="{BB8FE1BA-7407-43B3-AB66-08619B340F16}"/>
    <w:embedItalic r:id="rId3" w:fontKey="{96AC8CDD-1B3E-4CDE-97EA-F0FBD3100B4C}"/>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embedRegular r:id="rId4" w:subsetted="1" w:fontKey="{8FBC3B34-05C1-4ABF-AA5E-EEBA45B58C3B}"/>
    <w:embedItalic r:id="rId5" w:subsetted="1" w:fontKey="{534B5A93-F2CF-487B-B4DB-75A10B7FADAE}"/>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2686" w:rsidRPr="00501847" w:rsidRDefault="00152686" w:rsidP="00501847">
    <w:r w:rsidRPr="00501847">
      <w:fldChar w:fldCharType="begin"/>
    </w:r>
    <w:r w:rsidRPr="00501847">
      <w:instrText xml:space="preserve"> PAGE </w:instrText>
    </w:r>
    <w:r w:rsidRPr="00501847">
      <w:fldChar w:fldCharType="separate"/>
    </w:r>
    <w:r w:rsidR="00414418">
      <w:rPr>
        <w:noProof/>
      </w:rPr>
      <w:t>1</w:t>
    </w:r>
    <w:r w:rsidRPr="00501847">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1A65" w:rsidRDefault="00CF1A65" w:rsidP="00501847">
      <w:pPr>
        <w:spacing w:after="0" w:line="240" w:lineRule="auto"/>
      </w:pPr>
      <w:r>
        <w:separator/>
      </w:r>
    </w:p>
  </w:footnote>
  <w:footnote w:type="continuationSeparator" w:id="0">
    <w:p w:rsidR="00CF1A65" w:rsidRDefault="00CF1A65" w:rsidP="00501847">
      <w:pPr>
        <w:spacing w:after="0" w:line="240" w:lineRule="auto"/>
      </w:pPr>
      <w:r>
        <w:continuationSeparator/>
      </w:r>
    </w:p>
  </w:footnote>
  <w:footnote w:id="1">
    <w:p w:rsidR="00152686" w:rsidRPr="006A60E6" w:rsidRDefault="00152686" w:rsidP="006A60E6">
      <w:pPr>
        <w:rPr>
          <w:rFonts w:ascii="Times New Roman" w:hAnsi="Times New Roman"/>
        </w:rPr>
      </w:pPr>
      <w:r w:rsidRPr="008418A5">
        <w:rPr>
          <w:rFonts w:ascii="Times New Roman" w:hAnsi="Times New Roman"/>
        </w:rPr>
        <w:t xml:space="preserve">*Corresponding author. E-mail: </w:t>
      </w:r>
      <w:hyperlink r:id="rId1" w:history="1">
        <w:r w:rsidRPr="006A60E6">
          <w:rPr>
            <w:rFonts w:ascii="Times New Roman" w:hAnsi="Times New Roman"/>
            <w:color w:val="0563C1"/>
            <w:sz w:val="24"/>
            <w:szCs w:val="24"/>
            <w:u w:val="single"/>
            <w:lang w:val="en-US"/>
          </w:rPr>
          <w:t>onyeka.okwundu@eng.uniben.edu</w:t>
        </w:r>
      </w:hyperlink>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EF2047C"/>
    <w:multiLevelType w:val="hybridMultilevel"/>
    <w:tmpl w:val="0DA4CF7A"/>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1"/>
  <w:embedTrueTypeFonts/>
  <w:saveSubsetFonts/>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3"/>
  <w:styleLockQFSet/>
  <w:defaultTabStop w:val="708"/>
  <w:hyphenationZone w:val="425"/>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7110"/>
    <w:rsid w:val="00006A03"/>
    <w:rsid w:val="00026B17"/>
    <w:rsid w:val="000A23E9"/>
    <w:rsid w:val="000F6C24"/>
    <w:rsid w:val="000F7581"/>
    <w:rsid w:val="00115EFC"/>
    <w:rsid w:val="001224A5"/>
    <w:rsid w:val="001312F9"/>
    <w:rsid w:val="0014258D"/>
    <w:rsid w:val="00152686"/>
    <w:rsid w:val="00163ADF"/>
    <w:rsid w:val="001D6645"/>
    <w:rsid w:val="001F24CE"/>
    <w:rsid w:val="002413B3"/>
    <w:rsid w:val="00261448"/>
    <w:rsid w:val="00282ECB"/>
    <w:rsid w:val="002B3DBA"/>
    <w:rsid w:val="002C294F"/>
    <w:rsid w:val="002C379F"/>
    <w:rsid w:val="002D40BC"/>
    <w:rsid w:val="003000F2"/>
    <w:rsid w:val="003476B4"/>
    <w:rsid w:val="0036212A"/>
    <w:rsid w:val="00367FC9"/>
    <w:rsid w:val="00373B8E"/>
    <w:rsid w:val="00382D7A"/>
    <w:rsid w:val="003A7C3D"/>
    <w:rsid w:val="003C31C2"/>
    <w:rsid w:val="003C62EC"/>
    <w:rsid w:val="003D2AE9"/>
    <w:rsid w:val="003E0EC9"/>
    <w:rsid w:val="003F012C"/>
    <w:rsid w:val="004109D1"/>
    <w:rsid w:val="00414418"/>
    <w:rsid w:val="00455B86"/>
    <w:rsid w:val="00501847"/>
    <w:rsid w:val="005073B1"/>
    <w:rsid w:val="005312D5"/>
    <w:rsid w:val="00537851"/>
    <w:rsid w:val="005501AA"/>
    <w:rsid w:val="00577422"/>
    <w:rsid w:val="00595B2D"/>
    <w:rsid w:val="005B153C"/>
    <w:rsid w:val="005C768B"/>
    <w:rsid w:val="005E38E1"/>
    <w:rsid w:val="00623836"/>
    <w:rsid w:val="00645A05"/>
    <w:rsid w:val="0066225B"/>
    <w:rsid w:val="006708F8"/>
    <w:rsid w:val="006A60E6"/>
    <w:rsid w:val="006F6727"/>
    <w:rsid w:val="007141D6"/>
    <w:rsid w:val="00714340"/>
    <w:rsid w:val="00735C14"/>
    <w:rsid w:val="00753A69"/>
    <w:rsid w:val="00773D65"/>
    <w:rsid w:val="007902FB"/>
    <w:rsid w:val="007D7110"/>
    <w:rsid w:val="007E581F"/>
    <w:rsid w:val="007F6FEE"/>
    <w:rsid w:val="00811632"/>
    <w:rsid w:val="008418A5"/>
    <w:rsid w:val="00887B9E"/>
    <w:rsid w:val="008A1950"/>
    <w:rsid w:val="008C77A3"/>
    <w:rsid w:val="009134EF"/>
    <w:rsid w:val="00945763"/>
    <w:rsid w:val="00951C1B"/>
    <w:rsid w:val="009554DC"/>
    <w:rsid w:val="00962461"/>
    <w:rsid w:val="00965105"/>
    <w:rsid w:val="00986C75"/>
    <w:rsid w:val="009B4F97"/>
    <w:rsid w:val="009D24B1"/>
    <w:rsid w:val="00A31402"/>
    <w:rsid w:val="00A3404A"/>
    <w:rsid w:val="00A46D56"/>
    <w:rsid w:val="00A62A1F"/>
    <w:rsid w:val="00AC6F1A"/>
    <w:rsid w:val="00AC7A49"/>
    <w:rsid w:val="00AD7A73"/>
    <w:rsid w:val="00B17C97"/>
    <w:rsid w:val="00B64654"/>
    <w:rsid w:val="00B82394"/>
    <w:rsid w:val="00B90C61"/>
    <w:rsid w:val="00BB305F"/>
    <w:rsid w:val="00BB71E6"/>
    <w:rsid w:val="00BF24A8"/>
    <w:rsid w:val="00C03271"/>
    <w:rsid w:val="00C3165D"/>
    <w:rsid w:val="00C460C9"/>
    <w:rsid w:val="00C64FA7"/>
    <w:rsid w:val="00CB1668"/>
    <w:rsid w:val="00CF1A65"/>
    <w:rsid w:val="00D210EF"/>
    <w:rsid w:val="00D40E44"/>
    <w:rsid w:val="00D46834"/>
    <w:rsid w:val="00D50A08"/>
    <w:rsid w:val="00D62503"/>
    <w:rsid w:val="00D676AA"/>
    <w:rsid w:val="00D85D8E"/>
    <w:rsid w:val="00DF2945"/>
    <w:rsid w:val="00E05209"/>
    <w:rsid w:val="00E7253F"/>
    <w:rsid w:val="00E75C0E"/>
    <w:rsid w:val="00E842A9"/>
    <w:rsid w:val="00EE5E47"/>
    <w:rsid w:val="00EF041B"/>
    <w:rsid w:val="00EF1D11"/>
    <w:rsid w:val="00EF2BB5"/>
    <w:rsid w:val="00EF732F"/>
    <w:rsid w:val="00F24FB1"/>
    <w:rsid w:val="00F345BD"/>
    <w:rsid w:val="00F44A94"/>
    <w:rsid w:val="00F44C96"/>
    <w:rsid w:val="00F57100"/>
    <w:rsid w:val="00F811D5"/>
    <w:rsid w:val="00FB6413"/>
    <w:rsid w:val="00FC34A5"/>
    <w:rsid w:val="00FE47A8"/>
  </w:rsids>
  <m:mathPr>
    <m:mathFont m:val="Cambria Math"/>
    <m:brkBin m:val="before"/>
    <m:brkBinSub m:val="--"/>
    <m:smallFrac m:val="0"/>
    <m:dispDef/>
    <m:lMargin m:val="0"/>
    <m:rMargin m:val="0"/>
    <m:defJc m:val="centerGroup"/>
    <m:wrapIndent m:val="1440"/>
    <m:intLim m:val="subSup"/>
    <m:naryLim m:val="undOvr"/>
  </m:mathPr>
  <w:themeFontLang w:val="sr-Latn-R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345C82E-C2D2-43A8-BCF1-0E7A8A7416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sr-Latn-RS" w:eastAsia="sr-Latn-RS" w:bidi="ar-SA"/>
      </w:rPr>
    </w:rPrDefault>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012C"/>
    <w:pPr>
      <w:spacing w:after="160" w:line="259"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501847"/>
    <w:pPr>
      <w:tabs>
        <w:tab w:val="center" w:pos="4536"/>
        <w:tab w:val="right" w:pos="9072"/>
      </w:tabs>
      <w:spacing w:after="0" w:line="240" w:lineRule="auto"/>
    </w:pPr>
  </w:style>
  <w:style w:type="character" w:customStyle="1" w:styleId="HeaderChar">
    <w:name w:val="Header Char"/>
    <w:link w:val="Header"/>
    <w:uiPriority w:val="99"/>
    <w:semiHidden/>
    <w:rsid w:val="003F012C"/>
    <w:rPr>
      <w:sz w:val="22"/>
      <w:szCs w:val="22"/>
      <w:lang w:eastAsia="en-US"/>
    </w:rPr>
  </w:style>
  <w:style w:type="paragraph" w:styleId="Footer">
    <w:name w:val="footer"/>
    <w:basedOn w:val="Normal"/>
    <w:link w:val="FooterChar"/>
    <w:uiPriority w:val="99"/>
    <w:semiHidden/>
    <w:rsid w:val="00501847"/>
    <w:pPr>
      <w:tabs>
        <w:tab w:val="center" w:pos="4536"/>
        <w:tab w:val="right" w:pos="9072"/>
      </w:tabs>
      <w:spacing w:after="0" w:line="240" w:lineRule="auto"/>
    </w:pPr>
  </w:style>
  <w:style w:type="character" w:customStyle="1" w:styleId="FooterChar">
    <w:name w:val="Footer Char"/>
    <w:link w:val="Footer"/>
    <w:uiPriority w:val="99"/>
    <w:semiHidden/>
    <w:rsid w:val="003F012C"/>
    <w:rPr>
      <w:sz w:val="22"/>
      <w:szCs w:val="22"/>
      <w:lang w:eastAsia="en-US"/>
    </w:rPr>
  </w:style>
  <w:style w:type="character" w:styleId="Hyperlink">
    <w:name w:val="Hyperlink"/>
    <w:uiPriority w:val="99"/>
    <w:unhideWhenUsed/>
    <w:rsid w:val="002413B3"/>
    <w:rPr>
      <w:color w:val="0563C1"/>
      <w:u w:val="single"/>
    </w:rPr>
  </w:style>
  <w:style w:type="paragraph" w:styleId="ListParagraph">
    <w:name w:val="List Paragraph"/>
    <w:basedOn w:val="Normal"/>
    <w:uiPriority w:val="34"/>
    <w:qFormat/>
    <w:rsid w:val="003000F2"/>
    <w:pPr>
      <w:ind w:left="720"/>
      <w:contextualSpacing/>
    </w:pPr>
  </w:style>
  <w:style w:type="table" w:styleId="TableGrid">
    <w:name w:val="Table Grid"/>
    <w:basedOn w:val="TableNormal"/>
    <w:uiPriority w:val="39"/>
    <w:rsid w:val="009134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3140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1402"/>
    <w:rPr>
      <w:rFonts w:ascii="Segoe UI" w:hAnsi="Segoe UI" w:cs="Segoe UI"/>
      <w:sz w:val="18"/>
      <w:szCs w:val="18"/>
      <w:lang w:eastAsia="en-US"/>
    </w:rPr>
  </w:style>
  <w:style w:type="character" w:styleId="FollowedHyperlink">
    <w:name w:val="FollowedHyperlink"/>
    <w:basedOn w:val="DefaultParagraphFont"/>
    <w:uiPriority w:val="99"/>
    <w:semiHidden/>
    <w:unhideWhenUsed/>
    <w:rsid w:val="005501A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8565688">
      <w:bodyDiv w:val="1"/>
      <w:marLeft w:val="0"/>
      <w:marRight w:val="0"/>
      <w:marTop w:val="0"/>
      <w:marBottom w:val="0"/>
      <w:divBdr>
        <w:top w:val="none" w:sz="0" w:space="0" w:color="auto"/>
        <w:left w:val="none" w:sz="0" w:space="0" w:color="auto"/>
        <w:bottom w:val="none" w:sz="0" w:space="0" w:color="auto"/>
        <w:right w:val="none" w:sz="0" w:space="0" w:color="auto"/>
      </w:divBdr>
    </w:div>
    <w:div w:id="390076417">
      <w:bodyDiv w:val="1"/>
      <w:marLeft w:val="0"/>
      <w:marRight w:val="0"/>
      <w:marTop w:val="0"/>
      <w:marBottom w:val="0"/>
      <w:divBdr>
        <w:top w:val="none" w:sz="0" w:space="0" w:color="auto"/>
        <w:left w:val="none" w:sz="0" w:space="0" w:color="auto"/>
        <w:bottom w:val="none" w:sz="0" w:space="0" w:color="auto"/>
        <w:right w:val="none" w:sz="0" w:space="0" w:color="auto"/>
      </w:divBdr>
    </w:div>
    <w:div w:id="492717122">
      <w:bodyDiv w:val="1"/>
      <w:marLeft w:val="0"/>
      <w:marRight w:val="0"/>
      <w:marTop w:val="0"/>
      <w:marBottom w:val="0"/>
      <w:divBdr>
        <w:top w:val="none" w:sz="0" w:space="0" w:color="auto"/>
        <w:left w:val="none" w:sz="0" w:space="0" w:color="auto"/>
        <w:bottom w:val="none" w:sz="0" w:space="0" w:color="auto"/>
        <w:right w:val="none" w:sz="0" w:space="0" w:color="auto"/>
      </w:divBdr>
    </w:div>
    <w:div w:id="566497042">
      <w:bodyDiv w:val="1"/>
      <w:marLeft w:val="0"/>
      <w:marRight w:val="0"/>
      <w:marTop w:val="0"/>
      <w:marBottom w:val="0"/>
      <w:divBdr>
        <w:top w:val="none" w:sz="0" w:space="0" w:color="auto"/>
        <w:left w:val="none" w:sz="0" w:space="0" w:color="auto"/>
        <w:bottom w:val="none" w:sz="0" w:space="0" w:color="auto"/>
        <w:right w:val="none" w:sz="0" w:space="0" w:color="auto"/>
      </w:divBdr>
    </w:div>
    <w:div w:id="582645453">
      <w:bodyDiv w:val="1"/>
      <w:marLeft w:val="0"/>
      <w:marRight w:val="0"/>
      <w:marTop w:val="0"/>
      <w:marBottom w:val="0"/>
      <w:divBdr>
        <w:top w:val="none" w:sz="0" w:space="0" w:color="auto"/>
        <w:left w:val="none" w:sz="0" w:space="0" w:color="auto"/>
        <w:bottom w:val="none" w:sz="0" w:space="0" w:color="auto"/>
        <w:right w:val="none" w:sz="0" w:space="0" w:color="auto"/>
      </w:divBdr>
    </w:div>
    <w:div w:id="634603366">
      <w:bodyDiv w:val="1"/>
      <w:marLeft w:val="0"/>
      <w:marRight w:val="0"/>
      <w:marTop w:val="0"/>
      <w:marBottom w:val="0"/>
      <w:divBdr>
        <w:top w:val="none" w:sz="0" w:space="0" w:color="auto"/>
        <w:left w:val="none" w:sz="0" w:space="0" w:color="auto"/>
        <w:bottom w:val="none" w:sz="0" w:space="0" w:color="auto"/>
        <w:right w:val="none" w:sz="0" w:space="0" w:color="auto"/>
      </w:divBdr>
    </w:div>
    <w:div w:id="666640319">
      <w:bodyDiv w:val="1"/>
      <w:marLeft w:val="0"/>
      <w:marRight w:val="0"/>
      <w:marTop w:val="0"/>
      <w:marBottom w:val="0"/>
      <w:divBdr>
        <w:top w:val="none" w:sz="0" w:space="0" w:color="auto"/>
        <w:left w:val="none" w:sz="0" w:space="0" w:color="auto"/>
        <w:bottom w:val="none" w:sz="0" w:space="0" w:color="auto"/>
        <w:right w:val="none" w:sz="0" w:space="0" w:color="auto"/>
      </w:divBdr>
    </w:div>
    <w:div w:id="843858256">
      <w:bodyDiv w:val="1"/>
      <w:marLeft w:val="0"/>
      <w:marRight w:val="0"/>
      <w:marTop w:val="0"/>
      <w:marBottom w:val="0"/>
      <w:divBdr>
        <w:top w:val="none" w:sz="0" w:space="0" w:color="auto"/>
        <w:left w:val="none" w:sz="0" w:space="0" w:color="auto"/>
        <w:bottom w:val="none" w:sz="0" w:space="0" w:color="auto"/>
        <w:right w:val="none" w:sz="0" w:space="0" w:color="auto"/>
      </w:divBdr>
    </w:div>
    <w:div w:id="990988672">
      <w:bodyDiv w:val="1"/>
      <w:marLeft w:val="0"/>
      <w:marRight w:val="0"/>
      <w:marTop w:val="0"/>
      <w:marBottom w:val="0"/>
      <w:divBdr>
        <w:top w:val="none" w:sz="0" w:space="0" w:color="auto"/>
        <w:left w:val="none" w:sz="0" w:space="0" w:color="auto"/>
        <w:bottom w:val="none" w:sz="0" w:space="0" w:color="auto"/>
        <w:right w:val="none" w:sz="0" w:space="0" w:color="auto"/>
      </w:divBdr>
    </w:div>
    <w:div w:id="1339238399">
      <w:bodyDiv w:val="1"/>
      <w:marLeft w:val="0"/>
      <w:marRight w:val="0"/>
      <w:marTop w:val="0"/>
      <w:marBottom w:val="0"/>
      <w:divBdr>
        <w:top w:val="none" w:sz="0" w:space="0" w:color="auto"/>
        <w:left w:val="none" w:sz="0" w:space="0" w:color="auto"/>
        <w:bottom w:val="none" w:sz="0" w:space="0" w:color="auto"/>
        <w:right w:val="none" w:sz="0" w:space="0" w:color="auto"/>
      </w:divBdr>
    </w:div>
    <w:div w:id="1475028271">
      <w:bodyDiv w:val="1"/>
      <w:marLeft w:val="0"/>
      <w:marRight w:val="0"/>
      <w:marTop w:val="0"/>
      <w:marBottom w:val="0"/>
      <w:divBdr>
        <w:top w:val="none" w:sz="0" w:space="0" w:color="auto"/>
        <w:left w:val="none" w:sz="0" w:space="0" w:color="auto"/>
        <w:bottom w:val="none" w:sz="0" w:space="0" w:color="auto"/>
        <w:right w:val="none" w:sz="0" w:space="0" w:color="auto"/>
      </w:divBdr>
    </w:div>
    <w:div w:id="1486706844">
      <w:bodyDiv w:val="1"/>
      <w:marLeft w:val="0"/>
      <w:marRight w:val="0"/>
      <w:marTop w:val="0"/>
      <w:marBottom w:val="0"/>
      <w:divBdr>
        <w:top w:val="none" w:sz="0" w:space="0" w:color="auto"/>
        <w:left w:val="none" w:sz="0" w:space="0" w:color="auto"/>
        <w:bottom w:val="none" w:sz="0" w:space="0" w:color="auto"/>
        <w:right w:val="none" w:sz="0" w:space="0" w:color="auto"/>
      </w:divBdr>
    </w:div>
    <w:div w:id="1545753194">
      <w:bodyDiv w:val="1"/>
      <w:marLeft w:val="0"/>
      <w:marRight w:val="0"/>
      <w:marTop w:val="0"/>
      <w:marBottom w:val="0"/>
      <w:divBdr>
        <w:top w:val="none" w:sz="0" w:space="0" w:color="auto"/>
        <w:left w:val="none" w:sz="0" w:space="0" w:color="auto"/>
        <w:bottom w:val="none" w:sz="0" w:space="0" w:color="auto"/>
        <w:right w:val="none" w:sz="0" w:space="0" w:color="auto"/>
      </w:divBdr>
    </w:div>
    <w:div w:id="1599828247">
      <w:bodyDiv w:val="1"/>
      <w:marLeft w:val="0"/>
      <w:marRight w:val="0"/>
      <w:marTop w:val="0"/>
      <w:marBottom w:val="0"/>
      <w:divBdr>
        <w:top w:val="none" w:sz="0" w:space="0" w:color="auto"/>
        <w:left w:val="none" w:sz="0" w:space="0" w:color="auto"/>
        <w:bottom w:val="none" w:sz="0" w:space="0" w:color="auto"/>
        <w:right w:val="none" w:sz="0" w:space="0" w:color="auto"/>
      </w:divBdr>
    </w:div>
    <w:div w:id="1668246258">
      <w:bodyDiv w:val="1"/>
      <w:marLeft w:val="0"/>
      <w:marRight w:val="0"/>
      <w:marTop w:val="0"/>
      <w:marBottom w:val="0"/>
      <w:divBdr>
        <w:top w:val="none" w:sz="0" w:space="0" w:color="auto"/>
        <w:left w:val="none" w:sz="0" w:space="0" w:color="auto"/>
        <w:bottom w:val="none" w:sz="0" w:space="0" w:color="auto"/>
        <w:right w:val="none" w:sz="0" w:space="0" w:color="auto"/>
      </w:divBdr>
    </w:div>
    <w:div w:id="2004159677">
      <w:bodyDiv w:val="1"/>
      <w:marLeft w:val="0"/>
      <w:marRight w:val="0"/>
      <w:marTop w:val="0"/>
      <w:marBottom w:val="0"/>
      <w:divBdr>
        <w:top w:val="none" w:sz="0" w:space="0" w:color="auto"/>
        <w:left w:val="none" w:sz="0" w:space="0" w:color="auto"/>
        <w:bottom w:val="none" w:sz="0" w:space="0" w:color="auto"/>
        <w:right w:val="none" w:sz="0" w:space="0" w:color="auto"/>
      </w:divBdr>
    </w:div>
    <w:div w:id="2004895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hyperlink" Target="https://doi.org/10.1021/ie980128d" TargetMode="External"/><Relationship Id="rId26" Type="http://schemas.openxmlformats.org/officeDocument/2006/relationships/hyperlink" Target="https://doi.org/10.1002/masy.200751305" TargetMode="External"/><Relationship Id="rId39" Type="http://schemas.openxmlformats.org/officeDocument/2006/relationships/theme" Target="theme/theme1.xml"/><Relationship Id="rId21" Type="http://schemas.openxmlformats.org/officeDocument/2006/relationships/hyperlink" Target="https://doi.org/10.1007/s00542-016-3118-6" TargetMode="External"/><Relationship Id="rId34" Type="http://schemas.openxmlformats.org/officeDocument/2006/relationships/hyperlink" Target="https://doi.org/10.1016/j.cej.2010.08.084" TargetMode="Externa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hyperlink" Target="https://doi.org/10.1016/j.ces.2009.12.001" TargetMode="External"/><Relationship Id="rId25" Type="http://schemas.openxmlformats.org/officeDocument/2006/relationships/hyperlink" Target="https://doi.org/10.1016/S0009-2509(96)00340-5)" TargetMode="External"/><Relationship Id="rId33" Type="http://schemas.openxmlformats.org/officeDocument/2006/relationships/hyperlink" Target="https://doi.org/10.1016/j.cej.2007.07.048"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hyperlink" Target="https://doi.org/10.1039/b510841a" TargetMode="External"/><Relationship Id="rId29" Type="http://schemas.openxmlformats.org/officeDocument/2006/relationships/hyperlink" Target="https://doi.org/10.1016/j.cej.2008.01.03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hyperlink" Target="https://doi.org/10.1016/j.cej.2017.06.106" TargetMode="External"/><Relationship Id="rId32" Type="http://schemas.openxmlformats.org/officeDocument/2006/relationships/hyperlink" Target="https://doi.org/10.1117/12.478157" TargetMode="External"/><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hyperlink" Target="https://doi.org/10.1016/j.cep.2014.09.001" TargetMode="External"/><Relationship Id="rId28" Type="http://schemas.openxmlformats.org/officeDocument/2006/relationships/hyperlink" Target="https://doi.org/10.13140/RG.2.2.33028.83847/1" TargetMode="External"/><Relationship Id="rId36" Type="http://schemas.openxmlformats.org/officeDocument/2006/relationships/hyperlink" Target="https://doi.org/10.1002/aic.11333" TargetMode="External"/><Relationship Id="rId10" Type="http://schemas.openxmlformats.org/officeDocument/2006/relationships/chart" Target="charts/chart1.xml"/><Relationship Id="rId19" Type="http://schemas.openxmlformats.org/officeDocument/2006/relationships/hyperlink" Target="https://doi.org/10.1016/j.cep.2011.06.006" TargetMode="External"/><Relationship Id="rId31" Type="http://schemas.openxmlformats.org/officeDocument/2006/relationships/hyperlink" Target="https://doi.org/10.1016/j.snb.2006.01.004"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5.xml"/><Relationship Id="rId22" Type="http://schemas.openxmlformats.org/officeDocument/2006/relationships/hyperlink" Target="https://doi.org/10.1016/j.ces.2009.05.045" TargetMode="External"/><Relationship Id="rId27" Type="http://schemas.openxmlformats.org/officeDocument/2006/relationships/hyperlink" Target="https://doi.org/10.1039/c7re00051k" TargetMode="External"/><Relationship Id="rId30" Type="http://schemas.openxmlformats.org/officeDocument/2006/relationships/hyperlink" Target="https://doi.org/10.1016/j.cej.2003.10.017" TargetMode="External"/><Relationship Id="rId35" Type="http://schemas.openxmlformats.org/officeDocument/2006/relationships/hyperlink" Target="https://doi.org/10.1016/j.cep.2015.12.013" TargetMode="External"/><Relationship Id="rId8" Type="http://schemas.openxmlformats.org/officeDocument/2006/relationships/image" Target="media/image1.jpeg"/><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hyperlink" Target="mailto:onyeka.okwundu@eng.uniben.ed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Dokumenti\Dropbox\02_JSCS\Uputstva%20i%20sl\Template_JSCS.dot"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C:\Users\OKWUNDU%20ONYEKA\Documents\PBL%20for%20publication%20after%20editing.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OKWUNDU%20ONYEKA\Documents\PBL%20for%20publication%20after%20editing.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OKWUNDU%20ONYEKA\Documents\PBL%20for%20publication%20after%20editing.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OKWUNDU%20ONYEKA\Documents\PBL%20for%20publication%20after%20editing.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OKWUNDU%20ONYEKA\Documents\PBL%20for%20publication%20after%20editing.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C:\Users\OKWUNDU%20ONYEKA\Documents\PBL%20for%20publication%20after%20editing.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C:\Users\OKWUNDU%20ONYEKA\Documents\PBL%20for%20publication%20after%20editing.xlsx" TargetMode="External"/><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363786718441016"/>
          <c:y val="3.2809245618491238E-2"/>
          <c:w val="0.8405670010426779"/>
          <c:h val="0.71766889328407413"/>
        </c:manualLayout>
      </c:layout>
      <c:barChart>
        <c:barDir val="col"/>
        <c:grouping val="clustered"/>
        <c:varyColors val="0"/>
        <c:ser>
          <c:idx val="0"/>
          <c:order val="0"/>
          <c:tx>
            <c:v>Y-mixer</c:v>
          </c:tx>
          <c:spPr>
            <a:pattFill prst="dotGrid">
              <a:fgClr>
                <a:schemeClr val="accent1"/>
              </a:fgClr>
              <a:bgClr>
                <a:schemeClr val="bg1"/>
              </a:bgClr>
            </a:pattFill>
            <a:ln w="19050">
              <a:solidFill>
                <a:schemeClr val="accent1"/>
              </a:solidFill>
            </a:ln>
          </c:spPr>
          <c:invertIfNegative val="0"/>
          <c:cat>
            <c:numRef>
              <c:f>Sheet1!$E$4:$E$10</c:f>
              <c:numCache>
                <c:formatCode>General</c:formatCode>
                <c:ptCount val="7"/>
                <c:pt idx="0">
                  <c:v>88.383838383838125</c:v>
                </c:pt>
                <c:pt idx="1">
                  <c:v>70.707070707070713</c:v>
                </c:pt>
                <c:pt idx="2">
                  <c:v>53.030303030303052</c:v>
                </c:pt>
                <c:pt idx="3">
                  <c:v>44.191919191919212</c:v>
                </c:pt>
                <c:pt idx="4">
                  <c:v>35.353535353535356</c:v>
                </c:pt>
                <c:pt idx="5">
                  <c:v>26.51515151515153</c:v>
                </c:pt>
                <c:pt idx="6">
                  <c:v>17.676767676767639</c:v>
                </c:pt>
              </c:numCache>
            </c:numRef>
          </c:cat>
          <c:val>
            <c:numRef>
              <c:f>Sheet1!$F$4:$F$10</c:f>
              <c:numCache>
                <c:formatCode>General</c:formatCode>
                <c:ptCount val="7"/>
                <c:pt idx="0">
                  <c:v>0.34900000000000031</c:v>
                </c:pt>
                <c:pt idx="1">
                  <c:v>0.41100000000000031</c:v>
                </c:pt>
                <c:pt idx="2">
                  <c:v>0.52100000000000002</c:v>
                </c:pt>
                <c:pt idx="3">
                  <c:v>0.54100000000000004</c:v>
                </c:pt>
                <c:pt idx="4">
                  <c:v>1.28</c:v>
                </c:pt>
                <c:pt idx="5">
                  <c:v>1.4359999999999951</c:v>
                </c:pt>
                <c:pt idx="6">
                  <c:v>3.6459999999999999</c:v>
                </c:pt>
              </c:numCache>
            </c:numRef>
          </c:val>
          <c:extLst xmlns:c16r2="http://schemas.microsoft.com/office/drawing/2015/06/chart">
            <c:ext xmlns:c16="http://schemas.microsoft.com/office/drawing/2014/chart" uri="{C3380CC4-5D6E-409C-BE32-E72D297353CC}">
              <c16:uniqueId val="{00000000-E499-4C8F-8B61-AE25C4E08220}"/>
            </c:ext>
          </c:extLst>
        </c:ser>
        <c:ser>
          <c:idx val="1"/>
          <c:order val="1"/>
          <c:tx>
            <c:v>T-mixer</c:v>
          </c:tx>
          <c:spPr>
            <a:pattFill prst="pct50">
              <a:fgClr>
                <a:srgbClr val="C00000"/>
              </a:fgClr>
              <a:bgClr>
                <a:schemeClr val="bg1"/>
              </a:bgClr>
            </a:pattFill>
            <a:ln w="12700">
              <a:solidFill>
                <a:schemeClr val="accent1"/>
              </a:solidFill>
            </a:ln>
          </c:spPr>
          <c:invertIfNegative val="0"/>
          <c:cat>
            <c:numRef>
              <c:f>Sheet1!$E$22:$E$28</c:f>
              <c:numCache>
                <c:formatCode>General</c:formatCode>
                <c:ptCount val="7"/>
                <c:pt idx="0">
                  <c:v>88.383838383838125</c:v>
                </c:pt>
                <c:pt idx="1">
                  <c:v>70.707070707070713</c:v>
                </c:pt>
                <c:pt idx="2">
                  <c:v>53.030303030303052</c:v>
                </c:pt>
                <c:pt idx="3">
                  <c:v>44.191919191919212</c:v>
                </c:pt>
                <c:pt idx="4">
                  <c:v>35.353535353535356</c:v>
                </c:pt>
                <c:pt idx="5">
                  <c:v>26.51515151515153</c:v>
                </c:pt>
                <c:pt idx="6">
                  <c:v>17.676767676767639</c:v>
                </c:pt>
              </c:numCache>
            </c:numRef>
          </c:cat>
          <c:val>
            <c:numRef>
              <c:f>Sheet1!$F$22:$F$28</c:f>
              <c:numCache>
                <c:formatCode>General</c:formatCode>
                <c:ptCount val="7"/>
                <c:pt idx="0">
                  <c:v>0.12400000000000012</c:v>
                </c:pt>
                <c:pt idx="1">
                  <c:v>0.17</c:v>
                </c:pt>
                <c:pt idx="2">
                  <c:v>0.39100000000000074</c:v>
                </c:pt>
                <c:pt idx="3">
                  <c:v>0.442</c:v>
                </c:pt>
                <c:pt idx="4">
                  <c:v>1.103</c:v>
                </c:pt>
                <c:pt idx="5">
                  <c:v>1.4039999999999946</c:v>
                </c:pt>
                <c:pt idx="6">
                  <c:v>4.6769999999999996</c:v>
                </c:pt>
              </c:numCache>
            </c:numRef>
          </c:val>
          <c:extLst xmlns:c16r2="http://schemas.microsoft.com/office/drawing/2015/06/chart">
            <c:ext xmlns:c16="http://schemas.microsoft.com/office/drawing/2014/chart" uri="{C3380CC4-5D6E-409C-BE32-E72D297353CC}">
              <c16:uniqueId val="{00000001-E499-4C8F-8B61-AE25C4E08220}"/>
            </c:ext>
          </c:extLst>
        </c:ser>
        <c:ser>
          <c:idx val="2"/>
          <c:order val="2"/>
          <c:tx>
            <c:v>Arrow-mixer</c:v>
          </c:tx>
          <c:spPr>
            <a:pattFill prst="sphere">
              <a:fgClr>
                <a:schemeClr val="accent1"/>
              </a:fgClr>
              <a:bgClr>
                <a:schemeClr val="bg1"/>
              </a:bgClr>
            </a:pattFill>
            <a:ln w="6350">
              <a:solidFill>
                <a:schemeClr val="accent1"/>
              </a:solidFill>
            </a:ln>
          </c:spPr>
          <c:invertIfNegative val="0"/>
          <c:cat>
            <c:numRef>
              <c:f>Sheet1!$E$40:$E$46</c:f>
              <c:numCache>
                <c:formatCode>General</c:formatCode>
                <c:ptCount val="7"/>
                <c:pt idx="0">
                  <c:v>88.383838383838125</c:v>
                </c:pt>
                <c:pt idx="1">
                  <c:v>70.707070707070713</c:v>
                </c:pt>
                <c:pt idx="2">
                  <c:v>53.030303030303052</c:v>
                </c:pt>
                <c:pt idx="3">
                  <c:v>44.191919191919212</c:v>
                </c:pt>
                <c:pt idx="4">
                  <c:v>35.353535353535356</c:v>
                </c:pt>
                <c:pt idx="5">
                  <c:v>26.51515151515153</c:v>
                </c:pt>
                <c:pt idx="6">
                  <c:v>17.676767676767639</c:v>
                </c:pt>
              </c:numCache>
            </c:numRef>
          </c:cat>
          <c:val>
            <c:numRef>
              <c:f>Sheet1!$F$40:$F$46</c:f>
              <c:numCache>
                <c:formatCode>General</c:formatCode>
                <c:ptCount val="7"/>
                <c:pt idx="0">
                  <c:v>4.8000000000000001E-2</c:v>
                </c:pt>
                <c:pt idx="1">
                  <c:v>5.7000000000000023E-2</c:v>
                </c:pt>
                <c:pt idx="2">
                  <c:v>0.10500000000000002</c:v>
                </c:pt>
                <c:pt idx="3">
                  <c:v>0.41000000000000031</c:v>
                </c:pt>
                <c:pt idx="4">
                  <c:v>0.90600000000000003</c:v>
                </c:pt>
                <c:pt idx="5">
                  <c:v>1.4159999999999948</c:v>
                </c:pt>
                <c:pt idx="6">
                  <c:v>4.1839999999999975</c:v>
                </c:pt>
              </c:numCache>
            </c:numRef>
          </c:val>
          <c:extLst xmlns:c16r2="http://schemas.microsoft.com/office/drawing/2015/06/chart">
            <c:ext xmlns:c16="http://schemas.microsoft.com/office/drawing/2014/chart" uri="{C3380CC4-5D6E-409C-BE32-E72D297353CC}">
              <c16:uniqueId val="{00000002-E499-4C8F-8B61-AE25C4E08220}"/>
            </c:ext>
          </c:extLst>
        </c:ser>
        <c:dLbls>
          <c:showLegendKey val="0"/>
          <c:showVal val="0"/>
          <c:showCatName val="0"/>
          <c:showSerName val="0"/>
          <c:showPercent val="0"/>
          <c:showBubbleSize val="0"/>
        </c:dLbls>
        <c:gapWidth val="150"/>
        <c:axId val="2059450896"/>
        <c:axId val="1923795696"/>
      </c:barChart>
      <c:catAx>
        <c:axId val="2059450896"/>
        <c:scaling>
          <c:orientation val="minMax"/>
        </c:scaling>
        <c:delete val="0"/>
        <c:axPos val="b"/>
        <c:title>
          <c:tx>
            <c:rich>
              <a:bodyPr/>
              <a:lstStyle/>
              <a:p>
                <a:pPr>
                  <a:defRPr>
                    <a:latin typeface="Times New Roman" pitchFamily="18" charset="0"/>
                    <a:cs typeface="Times New Roman" pitchFamily="18" charset="0"/>
                  </a:defRPr>
                </a:pPr>
                <a:r>
                  <a:rPr lang="en-US">
                    <a:latin typeface="Times New Roman" pitchFamily="18" charset="0"/>
                    <a:cs typeface="Times New Roman" pitchFamily="18" charset="0"/>
                  </a:rPr>
                  <a:t>Re</a:t>
                </a:r>
              </a:p>
            </c:rich>
          </c:tx>
          <c:overlay val="0"/>
        </c:title>
        <c:numFmt formatCode="#,##0.0" sourceLinked="0"/>
        <c:majorTickMark val="out"/>
        <c:minorTickMark val="none"/>
        <c:tickLblPos val="nextTo"/>
        <c:crossAx val="1923795696"/>
        <c:crosses val="autoZero"/>
        <c:auto val="1"/>
        <c:lblAlgn val="ctr"/>
        <c:lblOffset val="100"/>
        <c:noMultiLvlLbl val="0"/>
      </c:catAx>
      <c:valAx>
        <c:axId val="1923795696"/>
        <c:scaling>
          <c:orientation val="minMax"/>
        </c:scaling>
        <c:delete val="0"/>
        <c:axPos val="l"/>
        <c:title>
          <c:tx>
            <c:rich>
              <a:bodyPr rot="-5400000" vert="horz"/>
              <a:lstStyle/>
              <a:p>
                <a:pPr>
                  <a:defRPr>
                    <a:latin typeface="Times New Roman" pitchFamily="18" charset="0"/>
                    <a:cs typeface="Times New Roman" pitchFamily="18" charset="0"/>
                  </a:defRPr>
                </a:pPr>
                <a:r>
                  <a:rPr lang="en-US">
                    <a:latin typeface="Times New Roman" pitchFamily="18" charset="0"/>
                    <a:cs typeface="Times New Roman" pitchFamily="18" charset="0"/>
                  </a:rPr>
                  <a:t>Absorbance</a:t>
                </a:r>
              </a:p>
            </c:rich>
          </c:tx>
          <c:layout>
            <c:manualLayout>
              <c:xMode val="edge"/>
              <c:yMode val="edge"/>
              <c:x val="1.9505456554772752E-3"/>
              <c:y val="0.1654521209042418"/>
            </c:manualLayout>
          </c:layout>
          <c:overlay val="0"/>
        </c:title>
        <c:numFmt formatCode="General" sourceLinked="1"/>
        <c:majorTickMark val="out"/>
        <c:minorTickMark val="none"/>
        <c:tickLblPos val="nextTo"/>
        <c:crossAx val="2059450896"/>
        <c:crosses val="autoZero"/>
        <c:crossBetween val="between"/>
      </c:valAx>
    </c:plotArea>
    <c:legend>
      <c:legendPos val="r"/>
      <c:layout>
        <c:manualLayout>
          <c:xMode val="edge"/>
          <c:yMode val="edge"/>
          <c:x val="0.19796933278077086"/>
          <c:y val="3.4284988569977137E-2"/>
          <c:w val="0.31825261568331359"/>
          <c:h val="0.35274346630841763"/>
        </c:manualLayout>
      </c:layout>
      <c:overlay val="0"/>
      <c:txPr>
        <a:bodyPr/>
        <a:lstStyle/>
        <a:p>
          <a:pPr>
            <a:defRPr>
              <a:latin typeface="Times New Roman" pitchFamily="18" charset="0"/>
              <a:cs typeface="Times New Roman" pitchFamily="18" charset="0"/>
            </a:defRPr>
          </a:pPr>
          <a:endParaRPr lang="en-US"/>
        </a:p>
      </c:txPr>
    </c:legend>
    <c:plotVisOnly val="1"/>
    <c:dispBlanksAs val="gap"/>
    <c:showDLblsOverMax val="0"/>
  </c:chart>
  <c:spPr>
    <a:ln w="3175">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770240868392496"/>
          <c:y val="2.1253710749123113E-2"/>
          <c:w val="0.81142656377806366"/>
          <c:h val="0.73467577216355062"/>
        </c:manualLayout>
      </c:layout>
      <c:barChart>
        <c:barDir val="col"/>
        <c:grouping val="clustered"/>
        <c:varyColors val="0"/>
        <c:ser>
          <c:idx val="0"/>
          <c:order val="0"/>
          <c:tx>
            <c:v>Y-mixer</c:v>
          </c:tx>
          <c:spPr>
            <a:pattFill prst="dotGrid">
              <a:fgClr>
                <a:srgbClr val="0070C0"/>
              </a:fgClr>
              <a:bgClr>
                <a:schemeClr val="bg1"/>
              </a:bgClr>
            </a:pattFill>
            <a:ln w="19050">
              <a:solidFill>
                <a:schemeClr val="accent1"/>
              </a:solidFill>
            </a:ln>
          </c:spPr>
          <c:invertIfNegative val="0"/>
          <c:cat>
            <c:numRef>
              <c:f>Sheet1!$E$12:$E$18</c:f>
              <c:numCache>
                <c:formatCode>General</c:formatCode>
                <c:ptCount val="7"/>
                <c:pt idx="0">
                  <c:v>17.676767676767639</c:v>
                </c:pt>
                <c:pt idx="1">
                  <c:v>12.373737373737406</c:v>
                </c:pt>
                <c:pt idx="2">
                  <c:v>8.8383838383838391</c:v>
                </c:pt>
                <c:pt idx="3">
                  <c:v>5.3030303030303036</c:v>
                </c:pt>
                <c:pt idx="4">
                  <c:v>2.6515151515151518</c:v>
                </c:pt>
                <c:pt idx="5">
                  <c:v>1.2373737373737377</c:v>
                </c:pt>
                <c:pt idx="6">
                  <c:v>0.17676767676767691</c:v>
                </c:pt>
              </c:numCache>
            </c:numRef>
          </c:cat>
          <c:val>
            <c:numRef>
              <c:f>Sheet1!$F$12:$F$18</c:f>
              <c:numCache>
                <c:formatCode>General</c:formatCode>
                <c:ptCount val="7"/>
                <c:pt idx="0">
                  <c:v>0.11</c:v>
                </c:pt>
                <c:pt idx="1">
                  <c:v>0.20600000000000004</c:v>
                </c:pt>
                <c:pt idx="2">
                  <c:v>0.32500000000000068</c:v>
                </c:pt>
                <c:pt idx="3">
                  <c:v>0.36900000000000038</c:v>
                </c:pt>
                <c:pt idx="4">
                  <c:v>0.62300000000000122</c:v>
                </c:pt>
                <c:pt idx="5">
                  <c:v>0.60600000000000065</c:v>
                </c:pt>
                <c:pt idx="6">
                  <c:v>0.10400000000000002</c:v>
                </c:pt>
              </c:numCache>
            </c:numRef>
          </c:val>
          <c:extLst xmlns:c16r2="http://schemas.microsoft.com/office/drawing/2015/06/chart">
            <c:ext xmlns:c16="http://schemas.microsoft.com/office/drawing/2014/chart" uri="{C3380CC4-5D6E-409C-BE32-E72D297353CC}">
              <c16:uniqueId val="{00000000-6160-4799-928C-99075205AE66}"/>
            </c:ext>
          </c:extLst>
        </c:ser>
        <c:ser>
          <c:idx val="1"/>
          <c:order val="1"/>
          <c:tx>
            <c:v>T-mixer</c:v>
          </c:tx>
          <c:spPr>
            <a:pattFill prst="pct50">
              <a:fgClr>
                <a:srgbClr val="C0504D">
                  <a:lumMod val="75000"/>
                </a:srgbClr>
              </a:fgClr>
              <a:bgClr>
                <a:schemeClr val="bg1"/>
              </a:bgClr>
            </a:pattFill>
            <a:ln w="12700">
              <a:solidFill>
                <a:schemeClr val="accent1"/>
              </a:solidFill>
            </a:ln>
          </c:spPr>
          <c:invertIfNegative val="0"/>
          <c:cat>
            <c:numRef>
              <c:f>Sheet1!$E$30:$E$36</c:f>
              <c:numCache>
                <c:formatCode>General</c:formatCode>
                <c:ptCount val="7"/>
                <c:pt idx="0">
                  <c:v>17.676767676767639</c:v>
                </c:pt>
                <c:pt idx="1">
                  <c:v>12.373737373737406</c:v>
                </c:pt>
                <c:pt idx="2">
                  <c:v>8.8383838383838391</c:v>
                </c:pt>
                <c:pt idx="3">
                  <c:v>5.3030303030303036</c:v>
                </c:pt>
                <c:pt idx="4">
                  <c:v>2.6515151515151518</c:v>
                </c:pt>
                <c:pt idx="5">
                  <c:v>1.2373737373737377</c:v>
                </c:pt>
                <c:pt idx="6">
                  <c:v>0.17676767676767691</c:v>
                </c:pt>
              </c:numCache>
            </c:numRef>
          </c:cat>
          <c:val>
            <c:numRef>
              <c:f>Sheet1!$F$30:$F$36</c:f>
              <c:numCache>
                <c:formatCode>General</c:formatCode>
                <c:ptCount val="7"/>
                <c:pt idx="0">
                  <c:v>0.13400000000000001</c:v>
                </c:pt>
                <c:pt idx="1">
                  <c:v>0.27400000000000002</c:v>
                </c:pt>
                <c:pt idx="2">
                  <c:v>0.112</c:v>
                </c:pt>
                <c:pt idx="3">
                  <c:v>0.20500000000000004</c:v>
                </c:pt>
                <c:pt idx="4">
                  <c:v>0.52100000000000002</c:v>
                </c:pt>
                <c:pt idx="5">
                  <c:v>0.68200000000000005</c:v>
                </c:pt>
                <c:pt idx="6">
                  <c:v>6.5000000000000002E-2</c:v>
                </c:pt>
              </c:numCache>
            </c:numRef>
          </c:val>
          <c:extLst xmlns:c16r2="http://schemas.microsoft.com/office/drawing/2015/06/chart">
            <c:ext xmlns:c16="http://schemas.microsoft.com/office/drawing/2014/chart" uri="{C3380CC4-5D6E-409C-BE32-E72D297353CC}">
              <c16:uniqueId val="{00000001-6160-4799-928C-99075205AE66}"/>
            </c:ext>
          </c:extLst>
        </c:ser>
        <c:ser>
          <c:idx val="2"/>
          <c:order val="2"/>
          <c:tx>
            <c:v>Arrow-mixer</c:v>
          </c:tx>
          <c:spPr>
            <a:pattFill prst="sphere">
              <a:fgClr>
                <a:schemeClr val="accent1"/>
              </a:fgClr>
              <a:bgClr>
                <a:schemeClr val="bg1"/>
              </a:bgClr>
            </a:pattFill>
            <a:ln w="6350">
              <a:solidFill>
                <a:schemeClr val="accent1"/>
              </a:solidFill>
            </a:ln>
          </c:spPr>
          <c:invertIfNegative val="0"/>
          <c:cat>
            <c:numRef>
              <c:f>Sheet1!$E$48:$E$54</c:f>
              <c:numCache>
                <c:formatCode>General</c:formatCode>
                <c:ptCount val="7"/>
                <c:pt idx="0">
                  <c:v>17.676767676767639</c:v>
                </c:pt>
                <c:pt idx="1">
                  <c:v>12.373737373737406</c:v>
                </c:pt>
                <c:pt idx="2">
                  <c:v>8.8383838383838391</c:v>
                </c:pt>
                <c:pt idx="3">
                  <c:v>5.3030303030303036</c:v>
                </c:pt>
                <c:pt idx="4">
                  <c:v>2.6515151515151518</c:v>
                </c:pt>
                <c:pt idx="5">
                  <c:v>1.2373737373737377</c:v>
                </c:pt>
                <c:pt idx="6">
                  <c:v>0.17676767676767691</c:v>
                </c:pt>
              </c:numCache>
            </c:numRef>
          </c:cat>
          <c:val>
            <c:numRef>
              <c:f>Sheet1!$F$48:$F$54</c:f>
              <c:numCache>
                <c:formatCode>General</c:formatCode>
                <c:ptCount val="7"/>
                <c:pt idx="0">
                  <c:v>8.3000000000000046E-2</c:v>
                </c:pt>
                <c:pt idx="1">
                  <c:v>0.23100000000000001</c:v>
                </c:pt>
                <c:pt idx="2">
                  <c:v>0.38000000000000067</c:v>
                </c:pt>
                <c:pt idx="3">
                  <c:v>0.51600000000000001</c:v>
                </c:pt>
                <c:pt idx="4">
                  <c:v>0.47500000000000031</c:v>
                </c:pt>
                <c:pt idx="5">
                  <c:v>0.48900000000000032</c:v>
                </c:pt>
                <c:pt idx="6">
                  <c:v>3.5999999999999997E-2</c:v>
                </c:pt>
              </c:numCache>
            </c:numRef>
          </c:val>
          <c:extLst xmlns:c16r2="http://schemas.microsoft.com/office/drawing/2015/06/chart">
            <c:ext xmlns:c16="http://schemas.microsoft.com/office/drawing/2014/chart" uri="{C3380CC4-5D6E-409C-BE32-E72D297353CC}">
              <c16:uniqueId val="{00000002-6160-4799-928C-99075205AE66}"/>
            </c:ext>
          </c:extLst>
        </c:ser>
        <c:dLbls>
          <c:showLegendKey val="0"/>
          <c:showVal val="0"/>
          <c:showCatName val="0"/>
          <c:showSerName val="0"/>
          <c:showPercent val="0"/>
          <c:showBubbleSize val="0"/>
        </c:dLbls>
        <c:gapWidth val="64"/>
        <c:axId val="1923796784"/>
        <c:axId val="1923795152"/>
      </c:barChart>
      <c:catAx>
        <c:axId val="1923796784"/>
        <c:scaling>
          <c:orientation val="minMax"/>
        </c:scaling>
        <c:delete val="0"/>
        <c:axPos val="b"/>
        <c:title>
          <c:tx>
            <c:rich>
              <a:bodyPr/>
              <a:lstStyle/>
              <a:p>
                <a:pPr>
                  <a:defRPr>
                    <a:latin typeface="Times New Roman" pitchFamily="18" charset="0"/>
                    <a:cs typeface="Times New Roman" pitchFamily="18" charset="0"/>
                  </a:defRPr>
                </a:pPr>
                <a:r>
                  <a:rPr lang="en-US">
                    <a:latin typeface="Times New Roman" pitchFamily="18" charset="0"/>
                    <a:cs typeface="Times New Roman" pitchFamily="18" charset="0"/>
                  </a:rPr>
                  <a:t>Re</a:t>
                </a:r>
              </a:p>
            </c:rich>
          </c:tx>
          <c:overlay val="0"/>
        </c:title>
        <c:numFmt formatCode="#,##0.0" sourceLinked="0"/>
        <c:majorTickMark val="out"/>
        <c:minorTickMark val="none"/>
        <c:tickLblPos val="nextTo"/>
        <c:crossAx val="1923795152"/>
        <c:crosses val="autoZero"/>
        <c:auto val="1"/>
        <c:lblAlgn val="ctr"/>
        <c:lblOffset val="100"/>
        <c:noMultiLvlLbl val="0"/>
      </c:catAx>
      <c:valAx>
        <c:axId val="1923795152"/>
        <c:scaling>
          <c:orientation val="minMax"/>
        </c:scaling>
        <c:delete val="0"/>
        <c:axPos val="l"/>
        <c:title>
          <c:tx>
            <c:rich>
              <a:bodyPr rot="-5400000" vert="horz"/>
              <a:lstStyle/>
              <a:p>
                <a:pPr>
                  <a:defRPr>
                    <a:latin typeface="Times New Roman" pitchFamily="18" charset="0"/>
                    <a:cs typeface="Times New Roman" pitchFamily="18" charset="0"/>
                  </a:defRPr>
                </a:pPr>
                <a:r>
                  <a:rPr lang="en-US">
                    <a:latin typeface="Times New Roman" pitchFamily="18" charset="0"/>
                    <a:cs typeface="Times New Roman" pitchFamily="18" charset="0"/>
                  </a:rPr>
                  <a:t>Absorbance</a:t>
                </a:r>
              </a:p>
            </c:rich>
          </c:tx>
          <c:layout>
            <c:manualLayout>
              <c:xMode val="edge"/>
              <c:yMode val="edge"/>
              <c:x val="2.6617576823347931E-3"/>
              <c:y val="0.21401490136313606"/>
            </c:manualLayout>
          </c:layout>
          <c:overlay val="0"/>
        </c:title>
        <c:numFmt formatCode="General" sourceLinked="1"/>
        <c:majorTickMark val="out"/>
        <c:minorTickMark val="none"/>
        <c:tickLblPos val="nextTo"/>
        <c:crossAx val="1923796784"/>
        <c:crosses val="autoZero"/>
        <c:crossBetween val="between"/>
      </c:valAx>
      <c:spPr>
        <a:noFill/>
      </c:spPr>
    </c:plotArea>
    <c:legend>
      <c:legendPos val="r"/>
      <c:layout>
        <c:manualLayout>
          <c:xMode val="edge"/>
          <c:yMode val="edge"/>
          <c:x val="0.23349686448385215"/>
          <c:y val="3.8951401236135809E-2"/>
          <c:w val="0.32323173175279657"/>
          <c:h val="0.32065977534798673"/>
        </c:manualLayout>
      </c:layout>
      <c:overlay val="0"/>
      <c:txPr>
        <a:bodyPr/>
        <a:lstStyle/>
        <a:p>
          <a:pPr>
            <a:defRPr>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spPr>
    <a:ln w="3175">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84481627296588"/>
          <c:y val="2.5995824004427563E-2"/>
          <c:w val="0.77635425780110823"/>
          <c:h val="0.7292151043933579"/>
        </c:manualLayout>
      </c:layout>
      <c:scatterChart>
        <c:scatterStyle val="lineMarker"/>
        <c:varyColors val="0"/>
        <c:ser>
          <c:idx val="0"/>
          <c:order val="0"/>
          <c:tx>
            <c:v>Y-mixer</c:v>
          </c:tx>
          <c:spPr>
            <a:ln w="28575">
              <a:noFill/>
            </a:ln>
          </c:spPr>
          <c:marker>
            <c:symbol val="star"/>
            <c:size val="7"/>
          </c:marker>
          <c:xVal>
            <c:numRef>
              <c:f>Sheet1!$E$4:$E$10</c:f>
              <c:numCache>
                <c:formatCode>General</c:formatCode>
                <c:ptCount val="7"/>
                <c:pt idx="0">
                  <c:v>88.383838383838068</c:v>
                </c:pt>
                <c:pt idx="1">
                  <c:v>70.707070707070713</c:v>
                </c:pt>
                <c:pt idx="2">
                  <c:v>53.030303030303052</c:v>
                </c:pt>
                <c:pt idx="3">
                  <c:v>44.191919191919212</c:v>
                </c:pt>
                <c:pt idx="4">
                  <c:v>35.353535353535356</c:v>
                </c:pt>
                <c:pt idx="5">
                  <c:v>26.51515151515153</c:v>
                </c:pt>
                <c:pt idx="6">
                  <c:v>17.676767676767632</c:v>
                </c:pt>
              </c:numCache>
            </c:numRef>
          </c:xVal>
          <c:yVal>
            <c:numRef>
              <c:f>Sheet1!$G$4:$G$10</c:f>
              <c:numCache>
                <c:formatCode>General</c:formatCode>
                <c:ptCount val="7"/>
                <c:pt idx="0">
                  <c:v>0.33808033095560519</c:v>
                </c:pt>
                <c:pt idx="1">
                  <c:v>0.39814044705659907</c:v>
                </c:pt>
                <c:pt idx="2">
                  <c:v>0.50469871755836715</c:v>
                </c:pt>
                <c:pt idx="3">
                  <c:v>0.52407294855868625</c:v>
                </c:pt>
                <c:pt idx="4">
                  <c:v>1.2399507840205519</c:v>
                </c:pt>
                <c:pt idx="5">
                  <c:v>1.3910697858230558</c:v>
                </c:pt>
                <c:pt idx="6">
                  <c:v>3.5319223113585387</c:v>
                </c:pt>
              </c:numCache>
            </c:numRef>
          </c:yVal>
          <c:smooth val="0"/>
          <c:extLst xmlns:c16r2="http://schemas.microsoft.com/office/drawing/2015/06/chart">
            <c:ext xmlns:c16="http://schemas.microsoft.com/office/drawing/2014/chart" uri="{C3380CC4-5D6E-409C-BE32-E72D297353CC}">
              <c16:uniqueId val="{00000000-B9CC-4284-AA7A-65951A44FA08}"/>
            </c:ext>
          </c:extLst>
        </c:ser>
        <c:ser>
          <c:idx val="1"/>
          <c:order val="1"/>
          <c:tx>
            <c:v>T-mixer</c:v>
          </c:tx>
          <c:spPr>
            <a:ln w="28575">
              <a:noFill/>
            </a:ln>
          </c:spPr>
          <c:marker>
            <c:symbol val="square"/>
            <c:size val="6"/>
          </c:marker>
          <c:xVal>
            <c:numRef>
              <c:f>Sheet1!$E$22:$E$28</c:f>
              <c:numCache>
                <c:formatCode>General</c:formatCode>
                <c:ptCount val="7"/>
                <c:pt idx="0">
                  <c:v>88.383838383838068</c:v>
                </c:pt>
                <c:pt idx="1">
                  <c:v>70.707070707070713</c:v>
                </c:pt>
                <c:pt idx="2">
                  <c:v>53.030303030303052</c:v>
                </c:pt>
                <c:pt idx="3">
                  <c:v>44.191919191919212</c:v>
                </c:pt>
                <c:pt idx="4">
                  <c:v>35.353535353535356</c:v>
                </c:pt>
                <c:pt idx="5">
                  <c:v>26.51515151515153</c:v>
                </c:pt>
                <c:pt idx="6">
                  <c:v>17.676767676767632</c:v>
                </c:pt>
              </c:numCache>
            </c:numRef>
          </c:xVal>
          <c:yVal>
            <c:numRef>
              <c:f>Sheet1!$G$22:$G$28</c:f>
              <c:numCache>
                <c:formatCode>General</c:formatCode>
                <c:ptCount val="7"/>
                <c:pt idx="0">
                  <c:v>0.12012023220199131</c:v>
                </c:pt>
                <c:pt idx="1">
                  <c:v>0.16468096350272954</c:v>
                </c:pt>
                <c:pt idx="2">
                  <c:v>0.37876621605627792</c:v>
                </c:pt>
                <c:pt idx="3">
                  <c:v>0.42817050510709787</c:v>
                </c:pt>
                <c:pt idx="4">
                  <c:v>1.0684888396677152</c:v>
                </c:pt>
                <c:pt idx="5">
                  <c:v>1.3600710162225427</c:v>
                </c:pt>
                <c:pt idx="6">
                  <c:v>4.5306639194250931</c:v>
                </c:pt>
              </c:numCache>
            </c:numRef>
          </c:yVal>
          <c:smooth val="0"/>
          <c:extLst xmlns:c16r2="http://schemas.microsoft.com/office/drawing/2015/06/chart">
            <c:ext xmlns:c16="http://schemas.microsoft.com/office/drawing/2014/chart" uri="{C3380CC4-5D6E-409C-BE32-E72D297353CC}">
              <c16:uniqueId val="{00000001-B9CC-4284-AA7A-65951A44FA08}"/>
            </c:ext>
          </c:extLst>
        </c:ser>
        <c:ser>
          <c:idx val="2"/>
          <c:order val="2"/>
          <c:tx>
            <c:v>Ar-mixer</c:v>
          </c:tx>
          <c:spPr>
            <a:ln w="28575">
              <a:noFill/>
            </a:ln>
          </c:spPr>
          <c:marker>
            <c:symbol val="triangle"/>
            <c:size val="5"/>
          </c:marker>
          <c:xVal>
            <c:numRef>
              <c:f>Sheet1!$E$40:$E$46</c:f>
              <c:numCache>
                <c:formatCode>General</c:formatCode>
                <c:ptCount val="7"/>
                <c:pt idx="0">
                  <c:v>88.383838383838068</c:v>
                </c:pt>
                <c:pt idx="1">
                  <c:v>70.707070707070713</c:v>
                </c:pt>
                <c:pt idx="2">
                  <c:v>53.030303030303052</c:v>
                </c:pt>
                <c:pt idx="3">
                  <c:v>44.191919191919212</c:v>
                </c:pt>
                <c:pt idx="4">
                  <c:v>35.353535353535356</c:v>
                </c:pt>
                <c:pt idx="5">
                  <c:v>26.51515151515153</c:v>
                </c:pt>
                <c:pt idx="6">
                  <c:v>17.676767676767632</c:v>
                </c:pt>
              </c:numCache>
            </c:numRef>
          </c:xVal>
          <c:yVal>
            <c:numRef>
              <c:f>Sheet1!$G$40:$G$46</c:f>
              <c:numCache>
                <c:formatCode>General</c:formatCode>
                <c:ptCount val="7"/>
                <c:pt idx="0">
                  <c:v>4.6498154400770687E-2</c:v>
                </c:pt>
                <c:pt idx="1">
                  <c:v>5.5216558350915199E-2</c:v>
                </c:pt>
                <c:pt idx="2">
                  <c:v>0.10171471275168628</c:v>
                </c:pt>
                <c:pt idx="3">
                  <c:v>0.39717173550658297</c:v>
                </c:pt>
                <c:pt idx="4">
                  <c:v>0.87765266431454836</c:v>
                </c:pt>
                <c:pt idx="5">
                  <c:v>1.3716955548227361</c:v>
                </c:pt>
                <c:pt idx="6">
                  <c:v>4.0530891252671823</c:v>
                </c:pt>
              </c:numCache>
            </c:numRef>
          </c:yVal>
          <c:smooth val="0"/>
          <c:extLst xmlns:c16r2="http://schemas.microsoft.com/office/drawing/2015/06/chart">
            <c:ext xmlns:c16="http://schemas.microsoft.com/office/drawing/2014/chart" uri="{C3380CC4-5D6E-409C-BE32-E72D297353CC}">
              <c16:uniqueId val="{00000002-B9CC-4284-AA7A-65951A44FA08}"/>
            </c:ext>
          </c:extLst>
        </c:ser>
        <c:dLbls>
          <c:showLegendKey val="0"/>
          <c:showVal val="0"/>
          <c:showCatName val="0"/>
          <c:showSerName val="0"/>
          <c:showPercent val="0"/>
          <c:showBubbleSize val="0"/>
        </c:dLbls>
        <c:axId val="1923797328"/>
        <c:axId val="1923790800"/>
      </c:scatterChart>
      <c:valAx>
        <c:axId val="1923797328"/>
        <c:scaling>
          <c:orientation val="minMax"/>
        </c:scaling>
        <c:delete val="0"/>
        <c:axPos val="b"/>
        <c:title>
          <c:tx>
            <c:rich>
              <a:bodyPr/>
              <a:lstStyle/>
              <a:p>
                <a:pPr>
                  <a:defRPr sz="1100"/>
                </a:pPr>
                <a:r>
                  <a:rPr lang="en-US" sz="1100">
                    <a:latin typeface="Times New Roman" pitchFamily="18" charset="0"/>
                    <a:cs typeface="Times New Roman" pitchFamily="18" charset="0"/>
                  </a:rPr>
                  <a:t>Re</a:t>
                </a:r>
              </a:p>
            </c:rich>
          </c:tx>
          <c:layout>
            <c:manualLayout>
              <c:xMode val="edge"/>
              <c:yMode val="edge"/>
              <c:x val="0.4867457713619131"/>
              <c:y val="0.89303578258747818"/>
            </c:manualLayout>
          </c:layout>
          <c:overlay val="0"/>
        </c:title>
        <c:numFmt formatCode="General" sourceLinked="1"/>
        <c:majorTickMark val="out"/>
        <c:minorTickMark val="none"/>
        <c:tickLblPos val="nextTo"/>
        <c:crossAx val="1923790800"/>
        <c:crosses val="autoZero"/>
        <c:crossBetween val="midCat"/>
      </c:valAx>
      <c:valAx>
        <c:axId val="1923790800"/>
        <c:scaling>
          <c:orientation val="minMax"/>
        </c:scaling>
        <c:delete val="0"/>
        <c:axPos val="l"/>
        <c:title>
          <c:tx>
            <c:rich>
              <a:bodyPr rot="-5400000" vert="horz"/>
              <a:lstStyle/>
              <a:p>
                <a:pPr>
                  <a:defRPr sz="1100"/>
                </a:pPr>
                <a:r>
                  <a:rPr lang="en-US" sz="1100">
                    <a:latin typeface="Times New Roman" pitchFamily="18" charset="0"/>
                    <a:cs typeface="Times New Roman" pitchFamily="18" charset="0"/>
                  </a:rPr>
                  <a:t>t</a:t>
                </a:r>
                <a:r>
                  <a:rPr lang="en-US" sz="1100" baseline="-25000">
                    <a:latin typeface="Times New Roman" pitchFamily="18" charset="0"/>
                    <a:cs typeface="Times New Roman" pitchFamily="18" charset="0"/>
                  </a:rPr>
                  <a:t>m</a:t>
                </a:r>
                <a:r>
                  <a:rPr lang="en-US" sz="1100" baseline="0">
                    <a:latin typeface="Times New Roman" pitchFamily="18" charset="0"/>
                    <a:cs typeface="Times New Roman" pitchFamily="18" charset="0"/>
                  </a:rPr>
                  <a:t> / </a:t>
                </a:r>
                <a:r>
                  <a:rPr lang="en-US" sz="1100">
                    <a:latin typeface="Times New Roman" pitchFamily="18" charset="0"/>
                    <a:cs typeface="Times New Roman" pitchFamily="18" charset="0"/>
                  </a:rPr>
                  <a:t>s</a:t>
                </a:r>
              </a:p>
            </c:rich>
          </c:tx>
          <c:overlay val="0"/>
        </c:title>
        <c:numFmt formatCode="General" sourceLinked="1"/>
        <c:majorTickMark val="out"/>
        <c:minorTickMark val="none"/>
        <c:tickLblPos val="nextTo"/>
        <c:crossAx val="1923797328"/>
        <c:crosses val="autoZero"/>
        <c:crossBetween val="midCat"/>
      </c:valAx>
    </c:plotArea>
    <c:legend>
      <c:legendPos val="r"/>
      <c:layout>
        <c:manualLayout>
          <c:xMode val="edge"/>
          <c:yMode val="edge"/>
          <c:x val="0.67162401574803154"/>
          <c:y val="2.9770901752858778E-2"/>
          <c:w val="0.32395450568678913"/>
          <c:h val="0.36827075007583854"/>
        </c:manualLayout>
      </c:layout>
      <c:overlay val="0"/>
    </c:legend>
    <c:plotVisOnly val="1"/>
    <c:dispBlanksAs val="gap"/>
    <c:showDLblsOverMax val="0"/>
  </c:chart>
  <c:spPr>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198730997874177"/>
          <c:y val="4.4059556052806113E-2"/>
          <c:w val="0.72508379777464838"/>
          <c:h val="0.72035980427069735"/>
        </c:manualLayout>
      </c:layout>
      <c:scatterChart>
        <c:scatterStyle val="lineMarker"/>
        <c:varyColors val="0"/>
        <c:ser>
          <c:idx val="0"/>
          <c:order val="0"/>
          <c:tx>
            <c:v>Y-mixer</c:v>
          </c:tx>
          <c:spPr>
            <a:ln w="28575">
              <a:noFill/>
            </a:ln>
          </c:spPr>
          <c:marker>
            <c:symbol val="star"/>
            <c:size val="7"/>
          </c:marker>
          <c:xVal>
            <c:numRef>
              <c:f>Sheet1!$E$12:$E$18</c:f>
              <c:numCache>
                <c:formatCode>General</c:formatCode>
                <c:ptCount val="7"/>
                <c:pt idx="0">
                  <c:v>17.676767676767632</c:v>
                </c:pt>
                <c:pt idx="1">
                  <c:v>12.373737373737409</c:v>
                </c:pt>
                <c:pt idx="2">
                  <c:v>8.8383838383838391</c:v>
                </c:pt>
                <c:pt idx="3">
                  <c:v>5.3030303030303036</c:v>
                </c:pt>
                <c:pt idx="4">
                  <c:v>2.6515151515151518</c:v>
                </c:pt>
                <c:pt idx="5">
                  <c:v>1.2373737373737377</c:v>
                </c:pt>
                <c:pt idx="6">
                  <c:v>0.17676767676767691</c:v>
                </c:pt>
              </c:numCache>
            </c:numRef>
          </c:xVal>
          <c:yVal>
            <c:numRef>
              <c:f>Sheet1!$G$12:$G$18</c:f>
              <c:numCache>
                <c:formatCode>General</c:formatCode>
                <c:ptCount val="7"/>
                <c:pt idx="0">
                  <c:v>0.10655827050176617</c:v>
                </c:pt>
                <c:pt idx="1">
                  <c:v>0.19955457930330717</c:v>
                </c:pt>
                <c:pt idx="2">
                  <c:v>0.31483125375521831</c:v>
                </c:pt>
                <c:pt idx="3">
                  <c:v>0.35745456195592629</c:v>
                </c:pt>
                <c:pt idx="4">
                  <c:v>0.60350729566000294</c:v>
                </c:pt>
                <c:pt idx="5">
                  <c:v>0.58703919930972959</c:v>
                </c:pt>
                <c:pt idx="6">
                  <c:v>0.10074600120167024</c:v>
                </c:pt>
              </c:numCache>
            </c:numRef>
          </c:yVal>
          <c:smooth val="0"/>
          <c:extLst xmlns:c16r2="http://schemas.microsoft.com/office/drawing/2015/06/chart">
            <c:ext xmlns:c16="http://schemas.microsoft.com/office/drawing/2014/chart" uri="{C3380CC4-5D6E-409C-BE32-E72D297353CC}">
              <c16:uniqueId val="{00000000-640A-4CF4-9771-5B9877D12862}"/>
            </c:ext>
          </c:extLst>
        </c:ser>
        <c:ser>
          <c:idx val="1"/>
          <c:order val="1"/>
          <c:tx>
            <c:v>T-mixer</c:v>
          </c:tx>
          <c:spPr>
            <a:ln w="28575">
              <a:noFill/>
            </a:ln>
          </c:spPr>
          <c:xVal>
            <c:numRef>
              <c:f>Sheet1!$E$30:$E$36</c:f>
              <c:numCache>
                <c:formatCode>General</c:formatCode>
                <c:ptCount val="7"/>
                <c:pt idx="0">
                  <c:v>17.676767676767632</c:v>
                </c:pt>
                <c:pt idx="1">
                  <c:v>12.373737373737409</c:v>
                </c:pt>
                <c:pt idx="2">
                  <c:v>8.8383838383838391</c:v>
                </c:pt>
                <c:pt idx="3">
                  <c:v>5.3030303030303036</c:v>
                </c:pt>
                <c:pt idx="4">
                  <c:v>2.6515151515151518</c:v>
                </c:pt>
                <c:pt idx="5">
                  <c:v>1.2373737373737377</c:v>
                </c:pt>
                <c:pt idx="6">
                  <c:v>0.17676767676767691</c:v>
                </c:pt>
              </c:numCache>
            </c:numRef>
          </c:xVal>
          <c:yVal>
            <c:numRef>
              <c:f>Sheet1!$G$30:$G$36</c:f>
              <c:numCache>
                <c:formatCode>General</c:formatCode>
                <c:ptCount val="7"/>
                <c:pt idx="0">
                  <c:v>0.12980734770215149</c:v>
                </c:pt>
                <c:pt idx="1">
                  <c:v>0.26542696470440058</c:v>
                </c:pt>
                <c:pt idx="2">
                  <c:v>0.10849569360179827</c:v>
                </c:pt>
                <c:pt idx="3">
                  <c:v>0.19858586775329148</c:v>
                </c:pt>
                <c:pt idx="4">
                  <c:v>0.50469871755836715</c:v>
                </c:pt>
                <c:pt idx="5">
                  <c:v>0.66066127711095202</c:v>
                </c:pt>
                <c:pt idx="6">
                  <c:v>6.2966250751043923E-2</c:v>
                </c:pt>
              </c:numCache>
            </c:numRef>
          </c:yVal>
          <c:smooth val="0"/>
          <c:extLst xmlns:c16r2="http://schemas.microsoft.com/office/drawing/2015/06/chart">
            <c:ext xmlns:c16="http://schemas.microsoft.com/office/drawing/2014/chart" uri="{C3380CC4-5D6E-409C-BE32-E72D297353CC}">
              <c16:uniqueId val="{00000001-640A-4CF4-9771-5B9877D12862}"/>
            </c:ext>
          </c:extLst>
        </c:ser>
        <c:ser>
          <c:idx val="2"/>
          <c:order val="2"/>
          <c:tx>
            <c:v>Ar-mixer</c:v>
          </c:tx>
          <c:spPr>
            <a:ln w="28575">
              <a:noFill/>
            </a:ln>
          </c:spPr>
          <c:marker>
            <c:spPr>
              <a:solidFill>
                <a:schemeClr val="accent6"/>
              </a:solidFill>
            </c:spPr>
          </c:marker>
          <c:xVal>
            <c:numRef>
              <c:f>Sheet1!$E$48:$E$54</c:f>
              <c:numCache>
                <c:formatCode>General</c:formatCode>
                <c:ptCount val="7"/>
                <c:pt idx="0">
                  <c:v>17.676767676767632</c:v>
                </c:pt>
                <c:pt idx="1">
                  <c:v>12.373737373737409</c:v>
                </c:pt>
                <c:pt idx="2">
                  <c:v>8.8383838383838391</c:v>
                </c:pt>
                <c:pt idx="3">
                  <c:v>5.3030303030303036</c:v>
                </c:pt>
                <c:pt idx="4">
                  <c:v>2.6515151515151518</c:v>
                </c:pt>
                <c:pt idx="5">
                  <c:v>1.2373737373737377</c:v>
                </c:pt>
                <c:pt idx="6">
                  <c:v>0.17676767676767691</c:v>
                </c:pt>
              </c:numCache>
            </c:numRef>
          </c:xVal>
          <c:yVal>
            <c:numRef>
              <c:f>Sheet1!$G$48:$G$54</c:f>
              <c:numCache>
                <c:formatCode>General</c:formatCode>
                <c:ptCount val="7"/>
                <c:pt idx="0">
                  <c:v>8.0403058651332654E-2</c:v>
                </c:pt>
                <c:pt idx="1">
                  <c:v>0.22377236805370887</c:v>
                </c:pt>
                <c:pt idx="2">
                  <c:v>0.36811038900610132</c:v>
                </c:pt>
                <c:pt idx="3">
                  <c:v>0.49985515980828532</c:v>
                </c:pt>
                <c:pt idx="4">
                  <c:v>0.46013798625762681</c:v>
                </c:pt>
                <c:pt idx="5">
                  <c:v>0.47369994795785247</c:v>
                </c:pt>
                <c:pt idx="6">
                  <c:v>3.4873615800578121E-2</c:v>
                </c:pt>
              </c:numCache>
            </c:numRef>
          </c:yVal>
          <c:smooth val="0"/>
          <c:extLst xmlns:c16r2="http://schemas.microsoft.com/office/drawing/2015/06/chart">
            <c:ext xmlns:c16="http://schemas.microsoft.com/office/drawing/2014/chart" uri="{C3380CC4-5D6E-409C-BE32-E72D297353CC}">
              <c16:uniqueId val="{00000002-640A-4CF4-9771-5B9877D12862}"/>
            </c:ext>
          </c:extLst>
        </c:ser>
        <c:dLbls>
          <c:showLegendKey val="0"/>
          <c:showVal val="0"/>
          <c:showCatName val="0"/>
          <c:showSerName val="0"/>
          <c:showPercent val="0"/>
          <c:showBubbleSize val="0"/>
        </c:dLbls>
        <c:axId val="1923791344"/>
        <c:axId val="1923791888"/>
      </c:scatterChart>
      <c:valAx>
        <c:axId val="1923791344"/>
        <c:scaling>
          <c:orientation val="minMax"/>
        </c:scaling>
        <c:delete val="0"/>
        <c:axPos val="b"/>
        <c:title>
          <c:tx>
            <c:rich>
              <a:bodyPr/>
              <a:lstStyle/>
              <a:p>
                <a:pPr>
                  <a:defRPr sz="1100"/>
                </a:pPr>
                <a:r>
                  <a:rPr lang="en-US" sz="1100">
                    <a:latin typeface="Times New Roman" pitchFamily="18" charset="0"/>
                    <a:cs typeface="Times New Roman" pitchFamily="18" charset="0"/>
                  </a:rPr>
                  <a:t>Re</a:t>
                </a:r>
              </a:p>
            </c:rich>
          </c:tx>
          <c:layout>
            <c:manualLayout>
              <c:xMode val="edge"/>
              <c:yMode val="edge"/>
              <c:x val="0.48962602482109019"/>
              <c:y val="0.88900302035109924"/>
            </c:manualLayout>
          </c:layout>
          <c:overlay val="0"/>
        </c:title>
        <c:numFmt formatCode="General" sourceLinked="1"/>
        <c:majorTickMark val="out"/>
        <c:minorTickMark val="none"/>
        <c:tickLblPos val="nextTo"/>
        <c:crossAx val="1923791888"/>
        <c:crosses val="autoZero"/>
        <c:crossBetween val="midCat"/>
      </c:valAx>
      <c:valAx>
        <c:axId val="1923791888"/>
        <c:scaling>
          <c:orientation val="minMax"/>
        </c:scaling>
        <c:delete val="0"/>
        <c:axPos val="l"/>
        <c:title>
          <c:tx>
            <c:rich>
              <a:bodyPr rot="-5400000" vert="horz"/>
              <a:lstStyle/>
              <a:p>
                <a:pPr>
                  <a:defRPr sz="1100"/>
                </a:pPr>
                <a:r>
                  <a:rPr lang="en-US" sz="1100">
                    <a:latin typeface="Times New Roman" pitchFamily="18" charset="0"/>
                    <a:cs typeface="Times New Roman" pitchFamily="18" charset="0"/>
                  </a:rPr>
                  <a:t>t</a:t>
                </a:r>
                <a:r>
                  <a:rPr lang="en-US" sz="1100" baseline="-25000">
                    <a:latin typeface="Times New Roman" pitchFamily="18" charset="0"/>
                    <a:cs typeface="Times New Roman" pitchFamily="18" charset="0"/>
                  </a:rPr>
                  <a:t>m</a:t>
                </a:r>
                <a:r>
                  <a:rPr lang="en-US" sz="1100">
                    <a:latin typeface="Times New Roman" pitchFamily="18" charset="0"/>
                    <a:cs typeface="Times New Roman" pitchFamily="18" charset="0"/>
                  </a:rPr>
                  <a:t> /</a:t>
                </a:r>
                <a:r>
                  <a:rPr lang="en-US" sz="1100" baseline="0">
                    <a:latin typeface="Times New Roman" pitchFamily="18" charset="0"/>
                    <a:cs typeface="Times New Roman" pitchFamily="18" charset="0"/>
                  </a:rPr>
                  <a:t> </a:t>
                </a:r>
                <a:r>
                  <a:rPr lang="en-US" sz="1100">
                    <a:latin typeface="Times New Roman" pitchFamily="18" charset="0"/>
                    <a:cs typeface="Times New Roman" pitchFamily="18" charset="0"/>
                  </a:rPr>
                  <a:t>s</a:t>
                </a:r>
              </a:p>
            </c:rich>
          </c:tx>
          <c:overlay val="0"/>
        </c:title>
        <c:numFmt formatCode="General" sourceLinked="1"/>
        <c:majorTickMark val="out"/>
        <c:minorTickMark val="none"/>
        <c:tickLblPos val="nextTo"/>
        <c:crossAx val="1923791344"/>
        <c:crosses val="autoZero"/>
        <c:crossBetween val="midCat"/>
      </c:valAx>
    </c:plotArea>
    <c:legend>
      <c:legendPos val="r"/>
      <c:layout>
        <c:manualLayout>
          <c:xMode val="edge"/>
          <c:yMode val="edge"/>
          <c:x val="0.68478405507303353"/>
          <c:y val="3.8159300439203894E-3"/>
          <c:w val="0.30981069546292972"/>
          <c:h val="0.35055065353011777"/>
        </c:manualLayout>
      </c:layout>
      <c:overlay val="0"/>
    </c:legend>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0102305028261505"/>
          <c:y val="3.9412671280858576E-2"/>
          <c:w val="0.72424731270624376"/>
          <c:h val="0.72204612323815398"/>
        </c:manualLayout>
      </c:layout>
      <c:scatterChart>
        <c:scatterStyle val="lineMarker"/>
        <c:varyColors val="0"/>
        <c:ser>
          <c:idx val="0"/>
          <c:order val="0"/>
          <c:tx>
            <c:v>Y-mixer</c:v>
          </c:tx>
          <c:spPr>
            <a:ln w="28575">
              <a:noFill/>
            </a:ln>
          </c:spPr>
          <c:marker>
            <c:symbol val="star"/>
            <c:size val="7"/>
          </c:marker>
          <c:xVal>
            <c:numRef>
              <c:f>(Sheet1!$E$4:$E$10,Sheet1!$E$12:$E$18)</c:f>
              <c:numCache>
                <c:formatCode>General</c:formatCode>
                <c:ptCount val="14"/>
                <c:pt idx="0">
                  <c:v>88.383838383838068</c:v>
                </c:pt>
                <c:pt idx="1">
                  <c:v>70.707070707070713</c:v>
                </c:pt>
                <c:pt idx="2">
                  <c:v>53.030303030303052</c:v>
                </c:pt>
                <c:pt idx="3">
                  <c:v>44.191919191919212</c:v>
                </c:pt>
                <c:pt idx="4">
                  <c:v>35.353535353535356</c:v>
                </c:pt>
                <c:pt idx="5">
                  <c:v>26.51515151515153</c:v>
                </c:pt>
                <c:pt idx="6">
                  <c:v>17.676767676767632</c:v>
                </c:pt>
                <c:pt idx="7">
                  <c:v>17.676767676767632</c:v>
                </c:pt>
                <c:pt idx="8">
                  <c:v>12.373737373737409</c:v>
                </c:pt>
                <c:pt idx="9">
                  <c:v>8.8383838383838391</c:v>
                </c:pt>
                <c:pt idx="10">
                  <c:v>5.3030303030303036</c:v>
                </c:pt>
                <c:pt idx="11">
                  <c:v>2.6515151515151518</c:v>
                </c:pt>
                <c:pt idx="12">
                  <c:v>1.2373737373737377</c:v>
                </c:pt>
                <c:pt idx="13">
                  <c:v>0.17676767676767691</c:v>
                </c:pt>
              </c:numCache>
            </c:numRef>
          </c:xVal>
          <c:yVal>
            <c:numRef>
              <c:f>(Sheet1!$H$4:$H$10,Sheet1!$H$12:$H$18)</c:f>
              <c:numCache>
                <c:formatCode>General</c:formatCode>
                <c:ptCount val="14"/>
                <c:pt idx="0">
                  <c:v>1.3931278269043713E-2</c:v>
                </c:pt>
                <c:pt idx="1">
                  <c:v>1.7296103757282105E-2</c:v>
                </c:pt>
                <c:pt idx="2">
                  <c:v>2.2814527989911852E-2</c:v>
                </c:pt>
                <c:pt idx="3">
                  <c:v>2.7061561890784465E-2</c:v>
                </c:pt>
                <c:pt idx="4">
                  <c:v>3.3092263679186801E-2</c:v>
                </c:pt>
                <c:pt idx="5">
                  <c:v>4.414834467561226E-2</c:v>
                </c:pt>
                <c:pt idx="6">
                  <c:v>6.0257540964874463E-2</c:v>
                </c:pt>
                <c:pt idx="7">
                  <c:v>6.0344840335784626E-2</c:v>
                </c:pt>
                <c:pt idx="8">
                  <c:v>8.4394927133451952E-2</c:v>
                </c:pt>
                <c:pt idx="9">
                  <c:v>0.11514931021741318</c:v>
                </c:pt>
                <c:pt idx="10">
                  <c:v>0.17830008615715426</c:v>
                </c:pt>
                <c:pt idx="11">
                  <c:v>0.31836325015984818</c:v>
                </c:pt>
                <c:pt idx="12">
                  <c:v>0.5526871636759747</c:v>
                </c:pt>
                <c:pt idx="13">
                  <c:v>1.8252179668467219</c:v>
                </c:pt>
              </c:numCache>
            </c:numRef>
          </c:yVal>
          <c:smooth val="0"/>
          <c:extLst xmlns:c16r2="http://schemas.microsoft.com/office/drawing/2015/06/chart">
            <c:ext xmlns:c16="http://schemas.microsoft.com/office/drawing/2014/chart" uri="{C3380CC4-5D6E-409C-BE32-E72D297353CC}">
              <c16:uniqueId val="{00000000-A02C-4475-B097-804E5BC888F4}"/>
            </c:ext>
          </c:extLst>
        </c:ser>
        <c:ser>
          <c:idx val="1"/>
          <c:order val="1"/>
          <c:tx>
            <c:v>T-mixer</c:v>
          </c:tx>
          <c:spPr>
            <a:ln w="28575">
              <a:noFill/>
            </a:ln>
          </c:spPr>
          <c:marker>
            <c:symbol val="square"/>
            <c:size val="5"/>
            <c:spPr>
              <a:solidFill>
                <a:schemeClr val="accent2">
                  <a:lumMod val="75000"/>
                </a:schemeClr>
              </a:solidFill>
              <a:ln>
                <a:solidFill>
                  <a:srgbClr val="C00000"/>
                </a:solidFill>
              </a:ln>
            </c:spPr>
          </c:marker>
          <c:xVal>
            <c:numRef>
              <c:f>(Sheet1!$E$22:$E$28,Sheet1!$E$30:$E$36)</c:f>
              <c:numCache>
                <c:formatCode>General</c:formatCode>
                <c:ptCount val="14"/>
                <c:pt idx="0">
                  <c:v>88.383838383838068</c:v>
                </c:pt>
                <c:pt idx="1">
                  <c:v>70.707070707070713</c:v>
                </c:pt>
                <c:pt idx="2">
                  <c:v>53.030303030303052</c:v>
                </c:pt>
                <c:pt idx="3">
                  <c:v>44.191919191919212</c:v>
                </c:pt>
                <c:pt idx="4">
                  <c:v>35.353535353535356</c:v>
                </c:pt>
                <c:pt idx="5">
                  <c:v>26.51515151515153</c:v>
                </c:pt>
                <c:pt idx="6">
                  <c:v>17.676767676767632</c:v>
                </c:pt>
                <c:pt idx="7">
                  <c:v>17.676767676767632</c:v>
                </c:pt>
                <c:pt idx="8">
                  <c:v>12.373737373737409</c:v>
                </c:pt>
                <c:pt idx="9">
                  <c:v>8.8383838383838391</c:v>
                </c:pt>
                <c:pt idx="10">
                  <c:v>5.3030303030303036</c:v>
                </c:pt>
                <c:pt idx="11">
                  <c:v>2.6515151515151518</c:v>
                </c:pt>
                <c:pt idx="12">
                  <c:v>1.2373737373737377</c:v>
                </c:pt>
                <c:pt idx="13">
                  <c:v>0.17676767676767691</c:v>
                </c:pt>
              </c:numCache>
            </c:numRef>
          </c:xVal>
          <c:yVal>
            <c:numRef>
              <c:f>(Sheet1!$H$22:$H$28,Sheet1!$H$30:$H$36)</c:f>
              <c:numCache>
                <c:formatCode>General</c:formatCode>
                <c:ptCount val="14"/>
                <c:pt idx="0">
                  <c:v>1.3259209029646534E-2</c:v>
                </c:pt>
                <c:pt idx="1">
                  <c:v>1.67301089644948E-2</c:v>
                </c:pt>
                <c:pt idx="2">
                  <c:v>2.2132620902286664E-2</c:v>
                </c:pt>
                <c:pt idx="3">
                  <c:v>2.6385410722991855E-2</c:v>
                </c:pt>
                <c:pt idx="4">
                  <c:v>3.2159840887982211E-2</c:v>
                </c:pt>
                <c:pt idx="5">
                  <c:v>4.3162085231464684E-2</c:v>
                </c:pt>
                <c:pt idx="6">
                  <c:v>5.8940856927256549E-2</c:v>
                </c:pt>
                <c:pt idx="7">
                  <c:v>5.8940856927256549E-2</c:v>
                </c:pt>
                <c:pt idx="8">
                  <c:v>8.2536988639940703E-2</c:v>
                </c:pt>
                <c:pt idx="9">
                  <c:v>0.11242875890163165</c:v>
                </c:pt>
                <c:pt idx="10">
                  <c:v>0.17442190722902459</c:v>
                </c:pt>
                <c:pt idx="11">
                  <c:v>0.31143857796887475</c:v>
                </c:pt>
                <c:pt idx="12">
                  <c:v>0.54548607154020856</c:v>
                </c:pt>
                <c:pt idx="13">
                  <c:v>1.8116280427659748</c:v>
                </c:pt>
              </c:numCache>
            </c:numRef>
          </c:yVal>
          <c:smooth val="0"/>
          <c:extLst xmlns:c16r2="http://schemas.microsoft.com/office/drawing/2015/06/chart">
            <c:ext xmlns:c16="http://schemas.microsoft.com/office/drawing/2014/chart" uri="{C3380CC4-5D6E-409C-BE32-E72D297353CC}">
              <c16:uniqueId val="{00000001-A02C-4475-B097-804E5BC888F4}"/>
            </c:ext>
          </c:extLst>
        </c:ser>
        <c:ser>
          <c:idx val="2"/>
          <c:order val="2"/>
          <c:tx>
            <c:v>Ar-mixer</c:v>
          </c:tx>
          <c:spPr>
            <a:ln w="28575">
              <a:noFill/>
            </a:ln>
          </c:spPr>
          <c:marker>
            <c:symbol val="triangle"/>
            <c:size val="5"/>
          </c:marker>
          <c:xVal>
            <c:numRef>
              <c:f>(Sheet1!$E$40:$E$46,Sheet1!$E$48:$E$54)</c:f>
              <c:numCache>
                <c:formatCode>General</c:formatCode>
                <c:ptCount val="14"/>
                <c:pt idx="0">
                  <c:v>88.383838383838068</c:v>
                </c:pt>
                <c:pt idx="1">
                  <c:v>70.707070707070713</c:v>
                </c:pt>
                <c:pt idx="2">
                  <c:v>53.030303030303052</c:v>
                </c:pt>
                <c:pt idx="3">
                  <c:v>44.191919191919212</c:v>
                </c:pt>
                <c:pt idx="4">
                  <c:v>35.353535353535356</c:v>
                </c:pt>
                <c:pt idx="5">
                  <c:v>26.51515151515153</c:v>
                </c:pt>
                <c:pt idx="6">
                  <c:v>17.676767676767632</c:v>
                </c:pt>
                <c:pt idx="7">
                  <c:v>17.676767676767632</c:v>
                </c:pt>
                <c:pt idx="8">
                  <c:v>12.373737373737409</c:v>
                </c:pt>
                <c:pt idx="9">
                  <c:v>8.8383838383838391</c:v>
                </c:pt>
                <c:pt idx="10">
                  <c:v>5.3030303030303036</c:v>
                </c:pt>
                <c:pt idx="11">
                  <c:v>2.6515151515151518</c:v>
                </c:pt>
                <c:pt idx="12">
                  <c:v>1.2373737373737377</c:v>
                </c:pt>
                <c:pt idx="13">
                  <c:v>0.17676767676767691</c:v>
                </c:pt>
              </c:numCache>
            </c:numRef>
          </c:xVal>
          <c:yVal>
            <c:numRef>
              <c:f>(Sheet1!$H$40:$H$46,Sheet1!$H$48:$H$54)</c:f>
              <c:numCache>
                <c:formatCode>General</c:formatCode>
                <c:ptCount val="14"/>
                <c:pt idx="0">
                  <c:v>1.300335443148265E-2</c:v>
                </c:pt>
                <c:pt idx="1">
                  <c:v>1.6336142287829175E-2</c:v>
                </c:pt>
                <c:pt idx="2">
                  <c:v>2.1515461470108195E-2</c:v>
                </c:pt>
                <c:pt idx="3">
                  <c:v>2.5515801099094848E-2</c:v>
                </c:pt>
                <c:pt idx="4">
                  <c:v>3.1702223598833859E-2</c:v>
                </c:pt>
                <c:pt idx="5">
                  <c:v>4.2795640560656233E-2</c:v>
                </c:pt>
                <c:pt idx="6">
                  <c:v>5.8886862539907429E-2</c:v>
                </c:pt>
                <c:pt idx="7">
                  <c:v>5.8859925042168512E-2</c:v>
                </c:pt>
                <c:pt idx="8">
                  <c:v>8.2460584585688779E-2</c:v>
                </c:pt>
                <c:pt idx="9">
                  <c:v>0.11220616047586067</c:v>
                </c:pt>
                <c:pt idx="10">
                  <c:v>0.15504340788492019</c:v>
                </c:pt>
                <c:pt idx="11">
                  <c:v>0.28063302208544161</c:v>
                </c:pt>
                <c:pt idx="12">
                  <c:v>0.5416043764797972</c:v>
                </c:pt>
                <c:pt idx="13">
                  <c:v>1.8078624833806178</c:v>
                </c:pt>
              </c:numCache>
            </c:numRef>
          </c:yVal>
          <c:smooth val="0"/>
          <c:extLst xmlns:c16r2="http://schemas.microsoft.com/office/drawing/2015/06/chart">
            <c:ext xmlns:c16="http://schemas.microsoft.com/office/drawing/2014/chart" uri="{C3380CC4-5D6E-409C-BE32-E72D297353CC}">
              <c16:uniqueId val="{00000002-A02C-4475-B097-804E5BC888F4}"/>
            </c:ext>
          </c:extLst>
        </c:ser>
        <c:dLbls>
          <c:showLegendKey val="0"/>
          <c:showVal val="0"/>
          <c:showCatName val="0"/>
          <c:showSerName val="0"/>
          <c:showPercent val="0"/>
          <c:showBubbleSize val="0"/>
        </c:dLbls>
        <c:axId val="1923792976"/>
        <c:axId val="1923793520"/>
      </c:scatterChart>
      <c:valAx>
        <c:axId val="1923792976"/>
        <c:scaling>
          <c:orientation val="minMax"/>
        </c:scaling>
        <c:delete val="0"/>
        <c:axPos val="b"/>
        <c:title>
          <c:tx>
            <c:rich>
              <a:bodyPr/>
              <a:lstStyle/>
              <a:p>
                <a:pPr>
                  <a:defRPr sz="1100"/>
                </a:pPr>
                <a:r>
                  <a:rPr lang="en-US" sz="1100"/>
                  <a:t>Re</a:t>
                </a:r>
              </a:p>
            </c:rich>
          </c:tx>
          <c:layout>
            <c:manualLayout>
              <c:xMode val="edge"/>
              <c:yMode val="edge"/>
              <c:x val="0.52890079081023966"/>
              <c:y val="0.88414044329868002"/>
            </c:manualLayout>
          </c:layout>
          <c:overlay val="0"/>
        </c:title>
        <c:numFmt formatCode="General" sourceLinked="1"/>
        <c:majorTickMark val="out"/>
        <c:minorTickMark val="none"/>
        <c:tickLblPos val="nextTo"/>
        <c:crossAx val="1923793520"/>
        <c:crosses val="autoZero"/>
        <c:crossBetween val="midCat"/>
        <c:majorUnit val="20"/>
      </c:valAx>
      <c:valAx>
        <c:axId val="1923793520"/>
        <c:scaling>
          <c:orientation val="minMax"/>
        </c:scaling>
        <c:delete val="0"/>
        <c:axPos val="l"/>
        <c:title>
          <c:tx>
            <c:rich>
              <a:bodyPr rot="-5400000" vert="horz"/>
              <a:lstStyle/>
              <a:p>
                <a:pPr>
                  <a:defRPr sz="1100"/>
                </a:pPr>
                <a:r>
                  <a:rPr lang="en-US" sz="1100"/>
                  <a:t>t</a:t>
                </a:r>
                <a:r>
                  <a:rPr lang="en-US" sz="1100" baseline="-25000"/>
                  <a:t>mp</a:t>
                </a:r>
                <a:r>
                  <a:rPr lang="en-US" sz="1100"/>
                  <a:t> /</a:t>
                </a:r>
                <a:r>
                  <a:rPr lang="en-US" sz="1100" baseline="0"/>
                  <a:t> </a:t>
                </a:r>
                <a:r>
                  <a:rPr lang="en-US" sz="1100"/>
                  <a:t>s</a:t>
                </a:r>
              </a:p>
            </c:rich>
          </c:tx>
          <c:layout>
            <c:manualLayout>
              <c:xMode val="edge"/>
              <c:yMode val="edge"/>
              <c:x val="2.2079626410335079E-3"/>
              <c:y val="0.35091658026732425"/>
            </c:manualLayout>
          </c:layout>
          <c:overlay val="0"/>
        </c:title>
        <c:numFmt formatCode="General" sourceLinked="1"/>
        <c:majorTickMark val="out"/>
        <c:minorTickMark val="none"/>
        <c:tickLblPos val="nextTo"/>
        <c:crossAx val="1923792976"/>
        <c:crosses val="autoZero"/>
        <c:crossBetween val="midCat"/>
      </c:valAx>
      <c:spPr>
        <a:noFill/>
        <a:ln w="25400">
          <a:noFill/>
        </a:ln>
      </c:spPr>
    </c:plotArea>
    <c:legend>
      <c:legendPos val="r"/>
      <c:layout>
        <c:manualLayout>
          <c:xMode val="edge"/>
          <c:yMode val="edge"/>
          <c:x val="0.59401330376940131"/>
          <c:y val="2.2660575249322901E-3"/>
          <c:w val="0.39795962311806377"/>
          <c:h val="0.40500093900291501"/>
        </c:manualLayout>
      </c:layout>
      <c:overlay val="0"/>
    </c:legend>
    <c:plotVisOnly val="1"/>
    <c:dispBlanksAs val="gap"/>
    <c:showDLblsOverMax val="0"/>
  </c:chart>
  <c:spPr>
    <a:ln w="3175">
      <a:noFill/>
    </a:ln>
  </c:spPr>
  <c:txPr>
    <a:bodyPr/>
    <a:lstStyle/>
    <a:p>
      <a:pPr>
        <a:defRPr>
          <a:latin typeface="Times New Roman" pitchFamily="18" charset="0"/>
          <a:cs typeface="Times New Roman" pitchFamily="18" charset="0"/>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8464022140221401"/>
          <c:y val="3.2213454052080509E-2"/>
          <c:w val="0.64617158671586716"/>
          <c:h val="0.69594637459417097"/>
        </c:manualLayout>
      </c:layout>
      <c:scatterChart>
        <c:scatterStyle val="lineMarker"/>
        <c:varyColors val="0"/>
        <c:ser>
          <c:idx val="0"/>
          <c:order val="0"/>
          <c:tx>
            <c:v>Y-mixer</c:v>
          </c:tx>
          <c:spPr>
            <a:ln w="28575">
              <a:noFill/>
            </a:ln>
          </c:spPr>
          <c:marker>
            <c:symbol val="star"/>
            <c:size val="7"/>
          </c:marker>
          <c:xVal>
            <c:numRef>
              <c:f>(Sheet1!$E$4:$E$10,Sheet1!$E$12:$E$18)</c:f>
              <c:numCache>
                <c:formatCode>General</c:formatCode>
                <c:ptCount val="14"/>
                <c:pt idx="0">
                  <c:v>88.383838383838068</c:v>
                </c:pt>
                <c:pt idx="1">
                  <c:v>70.707070707070713</c:v>
                </c:pt>
                <c:pt idx="2">
                  <c:v>53.030303030303052</c:v>
                </c:pt>
                <c:pt idx="3">
                  <c:v>44.191919191919212</c:v>
                </c:pt>
                <c:pt idx="4">
                  <c:v>35.353535353535356</c:v>
                </c:pt>
                <c:pt idx="5">
                  <c:v>26.51515151515153</c:v>
                </c:pt>
                <c:pt idx="6">
                  <c:v>17.676767676767632</c:v>
                </c:pt>
                <c:pt idx="7">
                  <c:v>17.676767676767632</c:v>
                </c:pt>
                <c:pt idx="8">
                  <c:v>12.373737373737409</c:v>
                </c:pt>
                <c:pt idx="9">
                  <c:v>8.8383838383838391</c:v>
                </c:pt>
                <c:pt idx="10">
                  <c:v>5.3030303030303036</c:v>
                </c:pt>
                <c:pt idx="11">
                  <c:v>2.6515151515151518</c:v>
                </c:pt>
                <c:pt idx="12">
                  <c:v>1.2373737373737377</c:v>
                </c:pt>
                <c:pt idx="13">
                  <c:v>0.17676767676767691</c:v>
                </c:pt>
              </c:numCache>
            </c:numRef>
          </c:xVal>
          <c:yVal>
            <c:numRef>
              <c:f>(Sheet1!$M$4:$M$10,Sheet1!$M$12:$M$18)</c:f>
              <c:numCache>
                <c:formatCode>General</c:formatCode>
                <c:ptCount val="14"/>
                <c:pt idx="0">
                  <c:v>33363.730541689692</c:v>
                </c:pt>
                <c:pt idx="1">
                  <c:v>25786.392276486727</c:v>
                </c:pt>
                <c:pt idx="2">
                  <c:v>18581.370905115517</c:v>
                </c:pt>
                <c:pt idx="3">
                  <c:v>15258.097889803565</c:v>
                </c:pt>
                <c:pt idx="4">
                  <c:v>12196.825651632411</c:v>
                </c:pt>
                <c:pt idx="5">
                  <c:v>8570.183315420627</c:v>
                </c:pt>
                <c:pt idx="6">
                  <c:v>6439.7033118285199</c:v>
                </c:pt>
                <c:pt idx="7">
                  <c:v>6419.0190399489984</c:v>
                </c:pt>
                <c:pt idx="8">
                  <c:v>4351.5676045526743</c:v>
                </c:pt>
                <c:pt idx="9">
                  <c:v>3054.1896204718687</c:v>
                </c:pt>
                <c:pt idx="10">
                  <c:v>1926.4888375284099</c:v>
                </c:pt>
                <c:pt idx="11">
                  <c:v>1062.4403209675647</c:v>
                </c:pt>
                <c:pt idx="12">
                  <c:v>668.26713063316151</c:v>
                </c:pt>
                <c:pt idx="13">
                  <c:v>328.91272835850822</c:v>
                </c:pt>
              </c:numCache>
            </c:numRef>
          </c:yVal>
          <c:smooth val="0"/>
          <c:extLst xmlns:c16r2="http://schemas.microsoft.com/office/drawing/2015/06/chart">
            <c:ext xmlns:c16="http://schemas.microsoft.com/office/drawing/2014/chart" uri="{C3380CC4-5D6E-409C-BE32-E72D297353CC}">
              <c16:uniqueId val="{00000000-95AA-490F-8C86-1D0236775DAE}"/>
            </c:ext>
          </c:extLst>
        </c:ser>
        <c:ser>
          <c:idx val="1"/>
          <c:order val="1"/>
          <c:tx>
            <c:v>T-mixer</c:v>
          </c:tx>
          <c:spPr>
            <a:ln w="28575">
              <a:noFill/>
            </a:ln>
          </c:spPr>
          <c:marker>
            <c:symbol val="square"/>
            <c:size val="6"/>
          </c:marker>
          <c:xVal>
            <c:numRef>
              <c:f>(Sheet1!$E$22:$E$28,Sheet1!$E$30:$E$36)</c:f>
              <c:numCache>
                <c:formatCode>General</c:formatCode>
                <c:ptCount val="14"/>
                <c:pt idx="0">
                  <c:v>88.383838383838068</c:v>
                </c:pt>
                <c:pt idx="1">
                  <c:v>70.707070707070713</c:v>
                </c:pt>
                <c:pt idx="2">
                  <c:v>53.030303030303052</c:v>
                </c:pt>
                <c:pt idx="3">
                  <c:v>44.191919191919212</c:v>
                </c:pt>
                <c:pt idx="4">
                  <c:v>35.353535353535356</c:v>
                </c:pt>
                <c:pt idx="5">
                  <c:v>26.51515151515153</c:v>
                </c:pt>
                <c:pt idx="6">
                  <c:v>17.676767676767632</c:v>
                </c:pt>
                <c:pt idx="7">
                  <c:v>17.676767676767632</c:v>
                </c:pt>
                <c:pt idx="8">
                  <c:v>12.373737373737409</c:v>
                </c:pt>
                <c:pt idx="9">
                  <c:v>8.8383838383838391</c:v>
                </c:pt>
                <c:pt idx="10">
                  <c:v>5.3030303030303036</c:v>
                </c:pt>
                <c:pt idx="11">
                  <c:v>2.6515151515151518</c:v>
                </c:pt>
                <c:pt idx="12">
                  <c:v>1.2373737373737377</c:v>
                </c:pt>
                <c:pt idx="13">
                  <c:v>0.17676767676767691</c:v>
                </c:pt>
              </c:numCache>
            </c:numRef>
          </c:xVal>
          <c:yVal>
            <c:numRef>
              <c:f>(Sheet1!$M$22:$M$28,Sheet1!$M$30:$M$36)</c:f>
              <c:numCache>
                <c:formatCode>General</c:formatCode>
                <c:ptCount val="14"/>
                <c:pt idx="0">
                  <c:v>37238.584140455998</c:v>
                </c:pt>
                <c:pt idx="1">
                  <c:v>27765.187619629021</c:v>
                </c:pt>
                <c:pt idx="2">
                  <c:v>19877.58527623304</c:v>
                </c:pt>
                <c:pt idx="3">
                  <c:v>16140.626823330402</c:v>
                </c:pt>
                <c:pt idx="4">
                  <c:v>12996.617497641095</c:v>
                </c:pt>
                <c:pt idx="5">
                  <c:v>9011.4477821840374</c:v>
                </c:pt>
                <c:pt idx="6">
                  <c:v>6763.7569046079298</c:v>
                </c:pt>
                <c:pt idx="7">
                  <c:v>6763.7569046079298</c:v>
                </c:pt>
                <c:pt idx="8">
                  <c:v>4572.245737672476</c:v>
                </c:pt>
                <c:pt idx="9">
                  <c:v>3220.8565598112532</c:v>
                </c:pt>
                <c:pt idx="10">
                  <c:v>2022.9720350133598</c:v>
                </c:pt>
                <c:pt idx="11">
                  <c:v>1115.6498892282359</c:v>
                </c:pt>
                <c:pt idx="12">
                  <c:v>688.02978426606512</c:v>
                </c:pt>
                <c:pt idx="13">
                  <c:v>334.42085131657194</c:v>
                </c:pt>
              </c:numCache>
            </c:numRef>
          </c:yVal>
          <c:smooth val="0"/>
          <c:extLst xmlns:c16r2="http://schemas.microsoft.com/office/drawing/2015/06/chart">
            <c:ext xmlns:c16="http://schemas.microsoft.com/office/drawing/2014/chart" uri="{C3380CC4-5D6E-409C-BE32-E72D297353CC}">
              <c16:uniqueId val="{00000001-95AA-490F-8C86-1D0236775DAE}"/>
            </c:ext>
          </c:extLst>
        </c:ser>
        <c:ser>
          <c:idx val="2"/>
          <c:order val="2"/>
          <c:tx>
            <c:v>Ar-mixer</c:v>
          </c:tx>
          <c:spPr>
            <a:ln w="28575">
              <a:noFill/>
            </a:ln>
          </c:spPr>
          <c:marker>
            <c:symbol val="triangle"/>
            <c:size val="5"/>
            <c:spPr>
              <a:solidFill>
                <a:srgbClr val="70AD47"/>
              </a:solidFill>
            </c:spPr>
          </c:marker>
          <c:xVal>
            <c:numRef>
              <c:f>(Sheet1!$E$40:$E$46,Sheet1!$E$48:$E$54)</c:f>
              <c:numCache>
                <c:formatCode>General</c:formatCode>
                <c:ptCount val="14"/>
                <c:pt idx="0">
                  <c:v>88.383838383838068</c:v>
                </c:pt>
                <c:pt idx="1">
                  <c:v>70.707070707070713</c:v>
                </c:pt>
                <c:pt idx="2">
                  <c:v>53.030303030303052</c:v>
                </c:pt>
                <c:pt idx="3">
                  <c:v>44.191919191919212</c:v>
                </c:pt>
                <c:pt idx="4">
                  <c:v>35.353535353535356</c:v>
                </c:pt>
                <c:pt idx="5">
                  <c:v>26.51515151515153</c:v>
                </c:pt>
                <c:pt idx="6">
                  <c:v>17.676767676767632</c:v>
                </c:pt>
                <c:pt idx="7">
                  <c:v>17.676767676767632</c:v>
                </c:pt>
                <c:pt idx="8">
                  <c:v>12.373737373737409</c:v>
                </c:pt>
                <c:pt idx="9">
                  <c:v>8.8383838383838391</c:v>
                </c:pt>
                <c:pt idx="10">
                  <c:v>5.3030303030303036</c:v>
                </c:pt>
                <c:pt idx="11">
                  <c:v>2.6515151515151518</c:v>
                </c:pt>
                <c:pt idx="12">
                  <c:v>1.2373737373737377</c:v>
                </c:pt>
                <c:pt idx="13">
                  <c:v>0.17676767676767691</c:v>
                </c:pt>
              </c:numCache>
            </c:numRef>
          </c:xVal>
          <c:yVal>
            <c:numRef>
              <c:f>(Sheet1!$M$40:$M$46,Sheet1!$M$48:$M$54)</c:f>
              <c:numCache>
                <c:formatCode>General</c:formatCode>
                <c:ptCount val="14"/>
                <c:pt idx="0">
                  <c:v>38886.431133525584</c:v>
                </c:pt>
                <c:pt idx="1">
                  <c:v>29275.139466834928</c:v>
                </c:pt>
                <c:pt idx="2">
                  <c:v>21166.904890057434</c:v>
                </c:pt>
                <c:pt idx="3">
                  <c:v>17388.577893395675</c:v>
                </c:pt>
                <c:pt idx="4">
                  <c:v>13417.197692524971</c:v>
                </c:pt>
                <c:pt idx="5">
                  <c:v>9183.816714513483</c:v>
                </c:pt>
                <c:pt idx="6">
                  <c:v>6777.5464191942683</c:v>
                </c:pt>
                <c:pt idx="7">
                  <c:v>6784.4411764874621</c:v>
                </c:pt>
                <c:pt idx="8">
                  <c:v>4581.6653472205562</c:v>
                </c:pt>
                <c:pt idx="9">
                  <c:v>3235.0729891078258</c:v>
                </c:pt>
                <c:pt idx="10">
                  <c:v>2628.1581234795622</c:v>
                </c:pt>
                <c:pt idx="11">
                  <c:v>1406.2000681297893</c:v>
                </c:pt>
                <c:pt idx="12">
                  <c:v>699.03587201827554</c:v>
                </c:pt>
                <c:pt idx="13">
                  <c:v>335.97072918707727</c:v>
                </c:pt>
              </c:numCache>
            </c:numRef>
          </c:yVal>
          <c:smooth val="0"/>
          <c:extLst xmlns:c16r2="http://schemas.microsoft.com/office/drawing/2015/06/chart">
            <c:ext xmlns:c16="http://schemas.microsoft.com/office/drawing/2014/chart" uri="{C3380CC4-5D6E-409C-BE32-E72D297353CC}">
              <c16:uniqueId val="{00000002-95AA-490F-8C86-1D0236775DAE}"/>
            </c:ext>
          </c:extLst>
        </c:ser>
        <c:dLbls>
          <c:showLegendKey val="0"/>
          <c:showVal val="0"/>
          <c:showCatName val="0"/>
          <c:showSerName val="0"/>
          <c:showPercent val="0"/>
          <c:showBubbleSize val="0"/>
        </c:dLbls>
        <c:axId val="2050902208"/>
        <c:axId val="2050903296"/>
      </c:scatterChart>
      <c:valAx>
        <c:axId val="2050902208"/>
        <c:scaling>
          <c:orientation val="minMax"/>
        </c:scaling>
        <c:delete val="0"/>
        <c:axPos val="b"/>
        <c:title>
          <c:tx>
            <c:rich>
              <a:bodyPr/>
              <a:lstStyle/>
              <a:p>
                <a:pPr>
                  <a:defRPr sz="1100"/>
                </a:pPr>
                <a:r>
                  <a:rPr lang="en-US" sz="1100">
                    <a:latin typeface="Times New Roman" pitchFamily="18" charset="0"/>
                    <a:cs typeface="Times New Roman" pitchFamily="18" charset="0"/>
                  </a:rPr>
                  <a:t>Re</a:t>
                </a:r>
              </a:p>
            </c:rich>
          </c:tx>
          <c:layout>
            <c:manualLayout>
              <c:xMode val="edge"/>
              <c:yMode val="edge"/>
              <c:x val="0.56431051515239561"/>
              <c:y val="0.86517054147852357"/>
            </c:manualLayout>
          </c:layout>
          <c:overlay val="0"/>
        </c:title>
        <c:numFmt formatCode="General" sourceLinked="1"/>
        <c:majorTickMark val="out"/>
        <c:minorTickMark val="none"/>
        <c:tickLblPos val="nextTo"/>
        <c:txPr>
          <a:bodyPr/>
          <a:lstStyle/>
          <a:p>
            <a:pPr>
              <a:defRPr sz="1200">
                <a:latin typeface="Times New Roman" pitchFamily="18" charset="0"/>
                <a:cs typeface="Times New Roman" pitchFamily="18" charset="0"/>
              </a:defRPr>
            </a:pPr>
            <a:endParaRPr lang="en-US"/>
          </a:p>
        </c:txPr>
        <c:crossAx val="2050903296"/>
        <c:crosses val="autoZero"/>
        <c:crossBetween val="midCat"/>
      </c:valAx>
      <c:valAx>
        <c:axId val="2050903296"/>
        <c:scaling>
          <c:orientation val="minMax"/>
        </c:scaling>
        <c:delete val="0"/>
        <c:axPos val="l"/>
        <c:title>
          <c:tx>
            <c:rich>
              <a:bodyPr rot="-5400000" vert="horz"/>
              <a:lstStyle/>
              <a:p>
                <a:pPr>
                  <a:defRPr/>
                </a:pPr>
                <a:r>
                  <a:rPr lang="en-US" sz="1100">
                    <a:latin typeface="Times New Roman" pitchFamily="18" charset="0"/>
                    <a:cs typeface="Times New Roman" pitchFamily="18" charset="0"/>
                  </a:rPr>
                  <a:t>Pressure drop / Pa</a:t>
                </a:r>
              </a:p>
            </c:rich>
          </c:tx>
          <c:layout>
            <c:manualLayout>
              <c:xMode val="edge"/>
              <c:yMode val="edge"/>
              <c:x val="1.4852762550899004E-3"/>
              <c:y val="0.12856621275745445"/>
            </c:manualLayout>
          </c:layout>
          <c:overlay val="0"/>
        </c:title>
        <c:numFmt formatCode="General" sourceLinked="1"/>
        <c:majorTickMark val="out"/>
        <c:minorTickMark val="none"/>
        <c:tickLblPos val="nextTo"/>
        <c:txPr>
          <a:bodyPr/>
          <a:lstStyle/>
          <a:p>
            <a:pPr>
              <a:defRPr sz="1200">
                <a:latin typeface="Times New Roman" pitchFamily="18" charset="0"/>
                <a:cs typeface="Times New Roman" pitchFamily="18" charset="0"/>
              </a:defRPr>
            </a:pPr>
            <a:endParaRPr lang="en-US"/>
          </a:p>
        </c:txPr>
        <c:crossAx val="2050902208"/>
        <c:crosses val="autoZero"/>
        <c:crossBetween val="midCat"/>
      </c:valAx>
    </c:plotArea>
    <c:legend>
      <c:legendPos val="r"/>
      <c:layout>
        <c:manualLayout>
          <c:xMode val="edge"/>
          <c:yMode val="edge"/>
          <c:x val="0.2889960189841243"/>
          <c:y val="6.7762049853132653E-2"/>
          <c:w val="0.23645297289510694"/>
          <c:h val="0.26914502142928326"/>
        </c:manualLayout>
      </c:layout>
      <c:overlay val="0"/>
    </c:legend>
    <c:plotVisOnly val="1"/>
    <c:dispBlanksAs val="gap"/>
    <c:showDLblsOverMax val="0"/>
  </c:chart>
  <c:spPr>
    <a:ln>
      <a:noFill/>
    </a:ln>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3185970606133249"/>
          <c:y val="4.4743858587280465E-2"/>
          <c:w val="0.69135517896328547"/>
          <c:h val="0.74226079411874468"/>
        </c:manualLayout>
      </c:layout>
      <c:scatterChart>
        <c:scatterStyle val="lineMarker"/>
        <c:varyColors val="0"/>
        <c:ser>
          <c:idx val="0"/>
          <c:order val="0"/>
          <c:tx>
            <c:v>Y-mixer</c:v>
          </c:tx>
          <c:spPr>
            <a:ln w="28575">
              <a:noFill/>
            </a:ln>
          </c:spPr>
          <c:marker>
            <c:symbol val="star"/>
            <c:size val="8"/>
          </c:marker>
          <c:xVal>
            <c:numRef>
              <c:f>(Sheet1!$E$4:$E$10,Sheet1!$E$12:$E$18)</c:f>
              <c:numCache>
                <c:formatCode>General</c:formatCode>
                <c:ptCount val="14"/>
                <c:pt idx="0">
                  <c:v>88.383838383838125</c:v>
                </c:pt>
                <c:pt idx="1">
                  <c:v>70.707070707070713</c:v>
                </c:pt>
                <c:pt idx="2">
                  <c:v>53.030303030303052</c:v>
                </c:pt>
                <c:pt idx="3">
                  <c:v>44.191919191919212</c:v>
                </c:pt>
                <c:pt idx="4">
                  <c:v>35.353535353535356</c:v>
                </c:pt>
                <c:pt idx="5">
                  <c:v>26.51515151515153</c:v>
                </c:pt>
                <c:pt idx="6">
                  <c:v>17.676767676767639</c:v>
                </c:pt>
                <c:pt idx="7">
                  <c:v>17.676767676767639</c:v>
                </c:pt>
                <c:pt idx="8">
                  <c:v>12.373737373737406</c:v>
                </c:pt>
                <c:pt idx="9">
                  <c:v>8.8383838383838391</c:v>
                </c:pt>
                <c:pt idx="10">
                  <c:v>5.3030303030303036</c:v>
                </c:pt>
                <c:pt idx="11">
                  <c:v>2.6515151515151518</c:v>
                </c:pt>
                <c:pt idx="12">
                  <c:v>1.2373737373737377</c:v>
                </c:pt>
                <c:pt idx="13">
                  <c:v>0.17676767676767691</c:v>
                </c:pt>
              </c:numCache>
            </c:numRef>
          </c:xVal>
          <c:yVal>
            <c:numRef>
              <c:f>(Sheet1!$N$4:$N$10,Sheet1!$N$12:$N$18)</c:f>
              <c:numCache>
                <c:formatCode>General</c:formatCode>
                <c:ptCount val="14"/>
                <c:pt idx="0">
                  <c:v>196.58763787191003</c:v>
                </c:pt>
                <c:pt idx="1">
                  <c:v>121.55201746492115</c:v>
                </c:pt>
                <c:pt idx="2">
                  <c:v>65.691715321115495</c:v>
                </c:pt>
                <c:pt idx="3">
                  <c:v>44.952308597906146</c:v>
                </c:pt>
                <c:pt idx="4">
                  <c:v>28.746727125059557</c:v>
                </c:pt>
                <c:pt idx="5">
                  <c:v>15.149313941400075</c:v>
                </c:pt>
                <c:pt idx="6">
                  <c:v>7.5888759567002797</c:v>
                </c:pt>
                <c:pt idx="7">
                  <c:v>7.564500552128429</c:v>
                </c:pt>
                <c:pt idx="8">
                  <c:v>3.589676980186534</c:v>
                </c:pt>
                <c:pt idx="9">
                  <c:v>1.7996066787292158</c:v>
                </c:pt>
                <c:pt idx="10">
                  <c:v>0.68108191225752013</c:v>
                </c:pt>
                <c:pt idx="11">
                  <c:v>0.18780510724174129</c:v>
                </c:pt>
                <c:pt idx="12">
                  <c:v>5.5126413133038753E-2</c:v>
                </c:pt>
                <c:pt idx="13">
                  <c:v>3.8760759234167733E-3</c:v>
                </c:pt>
              </c:numCache>
            </c:numRef>
          </c:yVal>
          <c:smooth val="0"/>
          <c:extLst xmlns:c16r2="http://schemas.microsoft.com/office/drawing/2015/06/chart">
            <c:ext xmlns:c16="http://schemas.microsoft.com/office/drawing/2014/chart" uri="{C3380CC4-5D6E-409C-BE32-E72D297353CC}">
              <c16:uniqueId val="{00000000-7D2E-4874-8C2E-126124C82135}"/>
            </c:ext>
          </c:extLst>
        </c:ser>
        <c:ser>
          <c:idx val="1"/>
          <c:order val="1"/>
          <c:tx>
            <c:v>T-mixer</c:v>
          </c:tx>
          <c:spPr>
            <a:ln w="28575">
              <a:noFill/>
            </a:ln>
          </c:spPr>
          <c:marker>
            <c:symbol val="square"/>
            <c:size val="6"/>
          </c:marker>
          <c:xVal>
            <c:numRef>
              <c:f>(Sheet1!$E$22:$E$28,Sheet1!$E$30:$E$36)</c:f>
              <c:numCache>
                <c:formatCode>General</c:formatCode>
                <c:ptCount val="14"/>
                <c:pt idx="0">
                  <c:v>88.383838383838125</c:v>
                </c:pt>
                <c:pt idx="1">
                  <c:v>70.707070707070713</c:v>
                </c:pt>
                <c:pt idx="2">
                  <c:v>53.030303030303052</c:v>
                </c:pt>
                <c:pt idx="3">
                  <c:v>44.191919191919212</c:v>
                </c:pt>
                <c:pt idx="4">
                  <c:v>35.353535353535356</c:v>
                </c:pt>
                <c:pt idx="5">
                  <c:v>26.51515151515153</c:v>
                </c:pt>
                <c:pt idx="6">
                  <c:v>17.676767676767639</c:v>
                </c:pt>
                <c:pt idx="7">
                  <c:v>17.676767676767639</c:v>
                </c:pt>
                <c:pt idx="8">
                  <c:v>12.373737373737406</c:v>
                </c:pt>
                <c:pt idx="9">
                  <c:v>8.8383838383838391</c:v>
                </c:pt>
                <c:pt idx="10">
                  <c:v>5.3030303030303036</c:v>
                </c:pt>
                <c:pt idx="11">
                  <c:v>2.6515151515151518</c:v>
                </c:pt>
                <c:pt idx="12">
                  <c:v>1.2373737373737377</c:v>
                </c:pt>
                <c:pt idx="13">
                  <c:v>0.17676767676767691</c:v>
                </c:pt>
              </c:numCache>
            </c:numRef>
          </c:xVal>
          <c:yVal>
            <c:numRef>
              <c:f>(Sheet1!$N$22:$N$28,Sheet1!$N$30:$N$36)</c:f>
              <c:numCache>
                <c:formatCode>General</c:formatCode>
                <c:ptCount val="14"/>
                <c:pt idx="0">
                  <c:v>219.41926682086827</c:v>
                </c:pt>
                <c:pt idx="1">
                  <c:v>130.87967228107922</c:v>
                </c:pt>
                <c:pt idx="2">
                  <c:v>70.274291380621818</c:v>
                </c:pt>
                <c:pt idx="3">
                  <c:v>47.552351752235992</c:v>
                </c:pt>
                <c:pt idx="4">
                  <c:v>30.631758411948766</c:v>
                </c:pt>
                <c:pt idx="5">
                  <c:v>15.929326887699059</c:v>
                </c:pt>
                <c:pt idx="6">
                  <c:v>7.9707572949924934</c:v>
                </c:pt>
                <c:pt idx="7">
                  <c:v>7.9707572949924934</c:v>
                </c:pt>
                <c:pt idx="8">
                  <c:v>3.7717178644099607</c:v>
                </c:pt>
                <c:pt idx="9">
                  <c:v>1.8978111042658867</c:v>
                </c:pt>
                <c:pt idx="10">
                  <c:v>0.71519213359058498</c:v>
                </c:pt>
                <c:pt idx="11">
                  <c:v>0.19721083900499159</c:v>
                </c:pt>
                <c:pt idx="12">
                  <c:v>5.6756665705449592E-2</c:v>
                </c:pt>
                <c:pt idx="13">
                  <c:v>3.9409864633266171E-3</c:v>
                </c:pt>
              </c:numCache>
            </c:numRef>
          </c:yVal>
          <c:smooth val="0"/>
          <c:extLst xmlns:c16r2="http://schemas.microsoft.com/office/drawing/2015/06/chart">
            <c:ext xmlns:c16="http://schemas.microsoft.com/office/drawing/2014/chart" uri="{C3380CC4-5D6E-409C-BE32-E72D297353CC}">
              <c16:uniqueId val="{00000001-7D2E-4874-8C2E-126124C82135}"/>
            </c:ext>
          </c:extLst>
        </c:ser>
        <c:ser>
          <c:idx val="2"/>
          <c:order val="2"/>
          <c:tx>
            <c:v>Ar-mixer</c:v>
          </c:tx>
          <c:spPr>
            <a:ln w="28575">
              <a:noFill/>
            </a:ln>
          </c:spPr>
          <c:marker>
            <c:symbol val="triangle"/>
            <c:size val="5"/>
          </c:marker>
          <c:xVal>
            <c:numRef>
              <c:f>(Sheet1!$E$40:$E$46,Sheet1!$E$48:$E$54)</c:f>
              <c:numCache>
                <c:formatCode>General</c:formatCode>
                <c:ptCount val="14"/>
                <c:pt idx="0">
                  <c:v>88.383838383838125</c:v>
                </c:pt>
                <c:pt idx="1">
                  <c:v>70.707070707070713</c:v>
                </c:pt>
                <c:pt idx="2">
                  <c:v>53.030303030303052</c:v>
                </c:pt>
                <c:pt idx="3">
                  <c:v>44.191919191919212</c:v>
                </c:pt>
                <c:pt idx="4">
                  <c:v>35.353535353535356</c:v>
                </c:pt>
                <c:pt idx="5">
                  <c:v>26.51515151515153</c:v>
                </c:pt>
                <c:pt idx="6">
                  <c:v>17.676767676767639</c:v>
                </c:pt>
                <c:pt idx="7">
                  <c:v>17.676767676767639</c:v>
                </c:pt>
                <c:pt idx="8">
                  <c:v>12.373737373737406</c:v>
                </c:pt>
                <c:pt idx="9">
                  <c:v>8.8383838383838391</c:v>
                </c:pt>
                <c:pt idx="10">
                  <c:v>5.3030303030303036</c:v>
                </c:pt>
                <c:pt idx="11">
                  <c:v>2.6515151515151518</c:v>
                </c:pt>
                <c:pt idx="12">
                  <c:v>1.2373737373737377</c:v>
                </c:pt>
                <c:pt idx="13">
                  <c:v>0.17676767676767691</c:v>
                </c:pt>
              </c:numCache>
            </c:numRef>
          </c:xVal>
          <c:yVal>
            <c:numRef>
              <c:f>(Sheet1!$N$40:$N$46,Sheet1!$N$48:$N$54)</c:f>
              <c:numCache>
                <c:formatCode>General</c:formatCode>
                <c:ptCount val="14"/>
                <c:pt idx="0">
                  <c:v>229.12880297531927</c:v>
                </c:pt>
                <c:pt idx="1">
                  <c:v>137.99729041605761</c:v>
                </c:pt>
                <c:pt idx="2">
                  <c:v>74.832492035556101</c:v>
                </c:pt>
                <c:pt idx="3">
                  <c:v>51.228975275155769</c:v>
                </c:pt>
                <c:pt idx="4">
                  <c:v>31.623024864536973</c:v>
                </c:pt>
                <c:pt idx="5">
                  <c:v>16.234019444847092</c:v>
                </c:pt>
                <c:pt idx="6">
                  <c:v>7.9870075647070475</c:v>
                </c:pt>
                <c:pt idx="7">
                  <c:v>7.9951326995643415</c:v>
                </c:pt>
                <c:pt idx="8">
                  <c:v>3.7794882493906954</c:v>
                </c:pt>
                <c:pt idx="9">
                  <c:v>1.9061877881948521</c:v>
                </c:pt>
                <c:pt idx="10">
                  <c:v>0.92914681133115862</c:v>
                </c:pt>
                <c:pt idx="11">
                  <c:v>0.24857071911385117</c:v>
                </c:pt>
                <c:pt idx="12">
                  <c:v>5.7664575301170876E-2</c:v>
                </c:pt>
                <c:pt idx="13">
                  <c:v>3.9592510173561395E-3</c:v>
                </c:pt>
              </c:numCache>
            </c:numRef>
          </c:yVal>
          <c:smooth val="0"/>
          <c:extLst xmlns:c16r2="http://schemas.microsoft.com/office/drawing/2015/06/chart">
            <c:ext xmlns:c16="http://schemas.microsoft.com/office/drawing/2014/chart" uri="{C3380CC4-5D6E-409C-BE32-E72D297353CC}">
              <c16:uniqueId val="{00000002-7D2E-4874-8C2E-126124C82135}"/>
            </c:ext>
          </c:extLst>
        </c:ser>
        <c:dLbls>
          <c:showLegendKey val="0"/>
          <c:showVal val="0"/>
          <c:showCatName val="0"/>
          <c:showSerName val="0"/>
          <c:showPercent val="0"/>
          <c:showBubbleSize val="0"/>
        </c:dLbls>
        <c:axId val="2050908192"/>
        <c:axId val="2050904928"/>
      </c:scatterChart>
      <c:valAx>
        <c:axId val="2050908192"/>
        <c:scaling>
          <c:orientation val="minMax"/>
        </c:scaling>
        <c:delete val="0"/>
        <c:axPos val="b"/>
        <c:title>
          <c:tx>
            <c:rich>
              <a:bodyPr/>
              <a:lstStyle/>
              <a:p>
                <a:pPr>
                  <a:defRPr sz="1100">
                    <a:latin typeface="Times New Roman" pitchFamily="18" charset="0"/>
                    <a:cs typeface="Times New Roman" pitchFamily="18" charset="0"/>
                  </a:defRPr>
                </a:pPr>
                <a:r>
                  <a:rPr lang="en-US" sz="1100" b="1">
                    <a:latin typeface="Times New Roman" pitchFamily="18" charset="0"/>
                    <a:cs typeface="Times New Roman" pitchFamily="18" charset="0"/>
                  </a:rPr>
                  <a:t>Re</a:t>
                </a: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2050904928"/>
        <c:crosses val="autoZero"/>
        <c:crossBetween val="midCat"/>
      </c:valAx>
      <c:valAx>
        <c:axId val="2050904928"/>
        <c:scaling>
          <c:orientation val="minMax"/>
        </c:scaling>
        <c:delete val="0"/>
        <c:axPos val="l"/>
        <c:title>
          <c:tx>
            <c:rich>
              <a:bodyPr rot="-5400000" vert="horz"/>
              <a:lstStyle/>
              <a:p>
                <a:pPr>
                  <a:defRPr sz="1100">
                    <a:latin typeface="Times New Roman" pitchFamily="18" charset="0"/>
                    <a:cs typeface="Times New Roman" pitchFamily="18" charset="0"/>
                  </a:defRPr>
                </a:pPr>
                <a:r>
                  <a:rPr lang="en-US" sz="1100" b="1">
                    <a:latin typeface="Times New Roman" pitchFamily="18" charset="0"/>
                    <a:cs typeface="Times New Roman" pitchFamily="18" charset="0"/>
                  </a:rPr>
                  <a:t>Ɛ /</a:t>
                </a:r>
                <a:r>
                  <a:rPr lang="en-US" sz="1100" b="1" baseline="0">
                    <a:latin typeface="Times New Roman" pitchFamily="18" charset="0"/>
                    <a:cs typeface="Times New Roman" pitchFamily="18" charset="0"/>
                  </a:rPr>
                  <a:t> </a:t>
                </a:r>
                <a:r>
                  <a:rPr lang="en-US" sz="1100" b="1">
                    <a:latin typeface="Times New Roman" pitchFamily="18" charset="0"/>
                    <a:cs typeface="Times New Roman" pitchFamily="18" charset="0"/>
                  </a:rPr>
                  <a:t>J kg</a:t>
                </a:r>
                <a:r>
                  <a:rPr lang="en-US" sz="1100" b="1" baseline="30000">
                    <a:latin typeface="Times New Roman" pitchFamily="18" charset="0"/>
                    <a:cs typeface="Times New Roman" pitchFamily="18" charset="0"/>
                  </a:rPr>
                  <a:t>-1 </a:t>
                </a:r>
                <a:r>
                  <a:rPr lang="en-US" sz="1100" b="1">
                    <a:latin typeface="Times New Roman" pitchFamily="18" charset="0"/>
                    <a:cs typeface="Times New Roman" pitchFamily="18" charset="0"/>
                  </a:rPr>
                  <a:t>s</a:t>
                </a:r>
                <a:r>
                  <a:rPr lang="en-US" sz="1100" b="1" baseline="30000">
                    <a:latin typeface="Times New Roman" pitchFamily="18" charset="0"/>
                    <a:cs typeface="Times New Roman" pitchFamily="18" charset="0"/>
                  </a:rPr>
                  <a:t>-1</a:t>
                </a:r>
              </a:p>
            </c:rich>
          </c:tx>
          <c:layout>
            <c:manualLayout>
              <c:xMode val="edge"/>
              <c:yMode val="edge"/>
              <c:x val="2.4948943929813658E-2"/>
              <c:y val="0.3070059870770433"/>
            </c:manualLayout>
          </c:layout>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2050908192"/>
        <c:crosses val="autoZero"/>
        <c:crossBetween val="midCat"/>
      </c:valAx>
    </c:plotArea>
    <c:legend>
      <c:legendPos val="r"/>
      <c:layout>
        <c:manualLayout>
          <c:xMode val="edge"/>
          <c:yMode val="edge"/>
          <c:x val="0.27545284438222051"/>
          <c:y val="8.1867519060572505E-2"/>
          <c:w val="0.21917759239693971"/>
          <c:h val="0.20470948022421517"/>
        </c:manualLayout>
      </c:layout>
      <c:overlay val="0"/>
    </c:legend>
    <c:plotVisOnly val="1"/>
    <c:dispBlanksAs val="gap"/>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21F087-7353-4EFA-89C3-D12404D7F4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Template_JSCS</Template>
  <TotalTime>185</TotalTime>
  <Pages>15</Pages>
  <Words>18431</Words>
  <Characters>105058</Characters>
  <Application>Microsoft Office Word</Application>
  <DocSecurity>0</DocSecurity>
  <Lines>875</Lines>
  <Paragraphs>246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123243</CharactersWithSpaces>
  <SharedDoc>false</SharedDoc>
  <HLinks>
    <vt:vector size="12" baseType="variant">
      <vt:variant>
        <vt:i4>6881328</vt:i4>
      </vt:variant>
      <vt:variant>
        <vt:i4>6</vt:i4>
      </vt:variant>
      <vt:variant>
        <vt:i4>0</vt:i4>
      </vt:variant>
      <vt:variant>
        <vt:i4>5</vt:i4>
      </vt:variant>
      <vt:variant>
        <vt:lpwstr>http://www.shd.org.rs/JSCS/</vt:lpwstr>
      </vt:variant>
      <vt:variant>
        <vt:lpwstr/>
      </vt:variant>
      <vt:variant>
        <vt:i4>4128862</vt:i4>
      </vt:variant>
      <vt:variant>
        <vt:i4>3</vt:i4>
      </vt:variant>
      <vt:variant>
        <vt:i4>0</vt:i4>
      </vt:variant>
      <vt:variant>
        <vt:i4>5</vt:i4>
      </vt:variant>
      <vt:variant>
        <vt:lpwstr>http://www.shd.org.rs/JSCS/jscs-pdf/Artwork_Instructions.pdf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Aleksandar Dekanski</dc:creator>
  <cp:keywords/>
  <dc:description/>
  <cp:lastModifiedBy>user</cp:lastModifiedBy>
  <cp:revision>21</cp:revision>
  <dcterms:created xsi:type="dcterms:W3CDTF">2019-07-22T19:24:00Z</dcterms:created>
  <dcterms:modified xsi:type="dcterms:W3CDTF">2019-07-23T11:32:00Z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9d972536-42a4-3ebf-8943-8e7d97ebd6bc</vt:lpwstr>
  </property>
  <property fmtid="{D5CDD505-2E9C-101B-9397-08002B2CF9AE}" pid="4" name="Mendeley Recent Style Id 0_1">
    <vt:lpwstr>http://www.zotero.org/styles/annual-reviews-without-titles</vt:lpwstr>
  </property>
  <property fmtid="{D5CDD505-2E9C-101B-9397-08002B2CF9AE}" pid="5" name="Mendeley Recent Style Name 0_1">
    <vt:lpwstr>Annual Reviews (sorted by order of appearance, without titles)</vt:lpwstr>
  </property>
  <property fmtid="{D5CDD505-2E9C-101B-9397-08002B2CF9AE}" pid="6" name="Mendeley Recent Style Id 1_1">
    <vt:lpwstr>http://www.zotero.org/styles/elsevier-without-titles</vt:lpwstr>
  </property>
  <property fmtid="{D5CDD505-2E9C-101B-9397-08002B2CF9AE}" pid="7" name="Mendeley Recent Style Name 1_1">
    <vt:lpwstr>Elsevier (numeric, without titles)</vt:lpwstr>
  </property>
  <property fmtid="{D5CDD505-2E9C-101B-9397-08002B2CF9AE}" pid="8" name="Mendeley Recent Style Id 2_1">
    <vt:lpwstr>http://www.zotero.org/styles/elsevier-harvard-without-titles</vt:lpwstr>
  </property>
  <property fmtid="{D5CDD505-2E9C-101B-9397-08002B2CF9AE}" pid="9" name="Mendeley Recent Style Name 2_1">
    <vt:lpwstr>Elsevier - Harvard (without titles)</vt:lpwstr>
  </property>
  <property fmtid="{D5CDD505-2E9C-101B-9397-08002B2CF9AE}" pid="10" name="Mendeley Recent Style Id 3_1">
    <vt:lpwstr>http://www.zotero.org/styles/ieee-with-url</vt:lpwstr>
  </property>
  <property fmtid="{D5CDD505-2E9C-101B-9397-08002B2CF9AE}" pid="11" name="Mendeley Recent Style Name 3_1">
    <vt:lpwstr>IEEE (with URL)</vt:lpwstr>
  </property>
  <property fmtid="{D5CDD505-2E9C-101B-9397-08002B2CF9AE}" pid="12" name="Mendeley Recent Style Id 4_1">
    <vt:lpwstr>http://www.zotero.org/styles/ieee-nanotechnology-magazine</vt:lpwstr>
  </property>
  <property fmtid="{D5CDD505-2E9C-101B-9397-08002B2CF9AE}" pid="13" name="Mendeley Recent Style Name 4_1">
    <vt:lpwstr>IEEE Nanotechnology Magazine</vt:lpwstr>
  </property>
  <property fmtid="{D5CDD505-2E9C-101B-9397-08002B2CF9AE}" pid="14" name="Mendeley Recent Style Id 5_1">
    <vt:lpwstr>http://www.zotero.org/styles/vancouver-imperial-college-london</vt:lpwstr>
  </property>
  <property fmtid="{D5CDD505-2E9C-101B-9397-08002B2CF9AE}" pid="15" name="Mendeley Recent Style Name 5_1">
    <vt:lpwstr>Imperial College London - Vancouver</vt:lpwstr>
  </property>
  <property fmtid="{D5CDD505-2E9C-101B-9397-08002B2CF9AE}" pid="16" name="Mendeley Recent Style Id 6_1">
    <vt:lpwstr>http://www.zotero.org/styles/nature</vt:lpwstr>
  </property>
  <property fmtid="{D5CDD505-2E9C-101B-9397-08002B2CF9AE}" pid="17" name="Mendeley Recent Style Name 6_1">
    <vt:lpwstr>Nature</vt:lpwstr>
  </property>
  <property fmtid="{D5CDD505-2E9C-101B-9397-08002B2CF9AE}" pid="18" name="Mendeley Recent Style Id 7_1">
    <vt:lpwstr>http://www.zotero.org/styles/science-without-titles</vt:lpwstr>
  </property>
  <property fmtid="{D5CDD505-2E9C-101B-9397-08002B2CF9AE}" pid="19" name="Mendeley Recent Style Name 7_1">
    <vt:lpwstr>Science (without titles)</vt:lpwstr>
  </property>
  <property fmtid="{D5CDD505-2E9C-101B-9397-08002B2CF9AE}" pid="20" name="Mendeley Recent Style Id 8_1">
    <vt:lpwstr>http://www.zotero.org/styles/springer-vancouver</vt:lpwstr>
  </property>
  <property fmtid="{D5CDD505-2E9C-101B-9397-08002B2CF9AE}" pid="21" name="Mendeley Recent Style Name 8_1">
    <vt:lpwstr>Springer - Vancouver</vt:lpwstr>
  </property>
  <property fmtid="{D5CDD505-2E9C-101B-9397-08002B2CF9AE}" pid="22" name="Mendeley Recent Style Id 9_1">
    <vt:lpwstr>http://www.zotero.org/styles/vancouver</vt:lpwstr>
  </property>
  <property fmtid="{D5CDD505-2E9C-101B-9397-08002B2CF9AE}" pid="23" name="Mendeley Recent Style Name 9_1">
    <vt:lpwstr>Vancouver</vt:lpwstr>
  </property>
  <property fmtid="{D5CDD505-2E9C-101B-9397-08002B2CF9AE}" pid="24" name="Mendeley Citation Style_1">
    <vt:lpwstr>http://www.zotero.org/styles/nature</vt:lpwstr>
  </property>
</Properties>
</file>