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jc w:val="center"/>
        <w:rPr>
          <w:b/>
          <w:sz w:val="24"/>
          <w:szCs w:val="24"/>
        </w:rPr>
      </w:pPr>
    </w:p>
    <w:p>
      <w:pPr>
        <w:spacing w:line="240" w:lineRule="auto"/>
        <w:jc w:val="center"/>
        <w:rPr>
          <w:b/>
          <w:sz w:val="24"/>
          <w:szCs w:val="24"/>
        </w:rPr>
      </w:pPr>
    </w:p>
    <w:p>
      <w:pPr>
        <w:spacing w:line="240" w:lineRule="auto"/>
        <w:jc w:val="center"/>
        <w:rPr>
          <w:b/>
          <w:sz w:val="24"/>
          <w:szCs w:val="24"/>
        </w:rPr>
      </w:pPr>
      <w:bookmarkStart w:id="0" w:name="_GoBack"/>
      <w:bookmarkEnd w:id="0"/>
      <w:r>
        <w:rPr>
          <w:b/>
          <w:sz w:val="24"/>
          <w:szCs w:val="24"/>
        </w:rPr>
        <w:t>Response to reviewers</w:t>
      </w:r>
    </w:p>
    <w:p>
      <w:pPr>
        <w:spacing w:line="240" w:lineRule="auto"/>
        <w:jc w:val="center"/>
        <w:rPr>
          <w:b/>
          <w:sz w:val="24"/>
          <w:szCs w:val="24"/>
        </w:rPr>
      </w:pPr>
    </w:p>
    <w:p>
      <w:pPr>
        <w:spacing w:line="240" w:lineRule="auto"/>
        <w:rPr>
          <w:sz w:val="24"/>
          <w:szCs w:val="24"/>
        </w:rPr>
      </w:pPr>
      <w:r>
        <w:rPr>
          <w:sz w:val="24"/>
          <w:szCs w:val="24"/>
        </w:rPr>
        <w:t xml:space="preserve">Thank you for your suggestions.  We corrected and improved our manuscript according to your observations and we hope that in this form the manuscript is totally in accordance with your expectation in order to adhere to the style accepted by the Journal of the Serbian Chemical Society. </w:t>
      </w:r>
    </w:p>
    <w:p>
      <w:pPr>
        <w:spacing w:line="240" w:lineRule="auto"/>
        <w:rPr>
          <w:sz w:val="24"/>
          <w:szCs w:val="24"/>
        </w:rPr>
      </w:pPr>
      <w:r>
        <w:rPr>
          <w:sz w:val="24"/>
          <w:szCs w:val="24"/>
        </w:rPr>
        <w:t xml:space="preserve">The new paragraphs introduced in the manuscript </w:t>
      </w:r>
      <w:proofErr w:type="gramStart"/>
      <w:r>
        <w:rPr>
          <w:sz w:val="24"/>
          <w:szCs w:val="24"/>
        </w:rPr>
        <w:t>are highlighted</w:t>
      </w:r>
      <w:proofErr w:type="gramEnd"/>
      <w:r>
        <w:rPr>
          <w:sz w:val="24"/>
          <w:szCs w:val="24"/>
        </w:rPr>
        <w:t xml:space="preserve"> in yellow. More details and information </w:t>
      </w:r>
      <w:proofErr w:type="gramStart"/>
      <w:r>
        <w:rPr>
          <w:sz w:val="24"/>
          <w:szCs w:val="24"/>
        </w:rPr>
        <w:t>have been added</w:t>
      </w:r>
      <w:proofErr w:type="gramEnd"/>
      <w:r>
        <w:rPr>
          <w:sz w:val="24"/>
          <w:szCs w:val="24"/>
        </w:rPr>
        <w:t xml:space="preserve"> for clarification in Supplementary Material. </w:t>
      </w:r>
      <w:r>
        <w:rPr>
          <w:sz w:val="24"/>
          <w:szCs w:val="24"/>
          <w:lang w:val="en"/>
        </w:rPr>
        <w:t xml:space="preserve">Some of the references </w:t>
      </w:r>
      <w:proofErr w:type="gramStart"/>
      <w:r>
        <w:rPr>
          <w:sz w:val="24"/>
          <w:szCs w:val="24"/>
          <w:lang w:val="en"/>
        </w:rPr>
        <w:t>have been transferred</w:t>
      </w:r>
      <w:proofErr w:type="gramEnd"/>
      <w:r>
        <w:rPr>
          <w:sz w:val="24"/>
          <w:szCs w:val="24"/>
          <w:lang w:val="en"/>
        </w:rPr>
        <w:t xml:space="preserve"> to the section Supplementary Material and consequently those in the manuscript have been renumbered.</w:t>
      </w:r>
    </w:p>
    <w:p>
      <w:pPr>
        <w:spacing w:line="240" w:lineRule="auto"/>
        <w:rPr>
          <w:b/>
          <w:sz w:val="24"/>
          <w:szCs w:val="24"/>
        </w:rPr>
      </w:pPr>
    </w:p>
    <w:p>
      <w:pPr>
        <w:spacing w:line="240" w:lineRule="auto"/>
        <w:rPr>
          <w:sz w:val="24"/>
          <w:szCs w:val="24"/>
        </w:rPr>
      </w:pPr>
      <w:r>
        <w:rPr>
          <w:sz w:val="24"/>
          <w:szCs w:val="24"/>
          <w:highlight w:val="yellow"/>
        </w:rPr>
        <w:t>For reviewer B</w:t>
      </w:r>
    </w:p>
    <w:p>
      <w:pPr>
        <w:spacing w:line="240" w:lineRule="auto"/>
        <w:rPr>
          <w:sz w:val="24"/>
          <w:szCs w:val="24"/>
        </w:rPr>
      </w:pPr>
      <w:r>
        <w:rPr>
          <w:sz w:val="24"/>
          <w:szCs w:val="24"/>
        </w:rPr>
        <w:t>We thank the reviewer for kind and positive feedback.</w:t>
      </w:r>
    </w:p>
    <w:p>
      <w:pPr>
        <w:spacing w:line="240" w:lineRule="auto"/>
        <w:rPr>
          <w:sz w:val="24"/>
          <w:szCs w:val="24"/>
        </w:rPr>
      </w:pPr>
    </w:p>
    <w:p>
      <w:pPr>
        <w:pStyle w:val="HTMLPreformatted"/>
        <w:rPr>
          <w:rFonts w:ascii="Times New Roman" w:hAnsi="Times New Roman" w:cs="Times New Roman"/>
          <w:color w:val="C00000"/>
          <w:sz w:val="24"/>
          <w:szCs w:val="24"/>
        </w:rPr>
      </w:pPr>
      <w:r>
        <w:rPr>
          <w:rFonts w:ascii="Times New Roman" w:hAnsi="Times New Roman" w:cs="Times New Roman"/>
          <w:color w:val="C00000"/>
          <w:sz w:val="24"/>
          <w:szCs w:val="24"/>
        </w:rPr>
        <w:t xml:space="preserve">-The manuscript </w:t>
      </w:r>
      <w:proofErr w:type="gramStart"/>
      <w:r>
        <w:rPr>
          <w:rFonts w:ascii="Times New Roman" w:hAnsi="Times New Roman" w:cs="Times New Roman"/>
          <w:color w:val="C00000"/>
          <w:sz w:val="24"/>
          <w:szCs w:val="24"/>
        </w:rPr>
        <w:t>is considered</w:t>
      </w:r>
      <w:proofErr w:type="gramEnd"/>
      <w:r>
        <w:rPr>
          <w:rFonts w:ascii="Times New Roman" w:hAnsi="Times New Roman" w:cs="Times New Roman"/>
          <w:color w:val="C00000"/>
          <w:sz w:val="24"/>
          <w:szCs w:val="24"/>
        </w:rPr>
        <w:t xml:space="preserve"> with an appropriate length. However, there are too many "in line" citations to Schrodinger site. It would be better to cite in references the full software an in text to specify the procedure with a separate reference if exists (for instance the PHASE procedure is again cited in reference 35). This would give a much clear text.</w:t>
      </w:r>
    </w:p>
    <w:p>
      <w:pPr>
        <w:pStyle w:val="HTMLPreformatted"/>
        <w:rPr>
          <w:rFonts w:ascii="Times New Roman" w:hAnsi="Times New Roman" w:cs="Times New Roman"/>
          <w:sz w:val="24"/>
          <w:szCs w:val="24"/>
        </w:rPr>
      </w:pPr>
    </w:p>
    <w:p>
      <w:pPr>
        <w:pStyle w:val="HTMLPreformatted"/>
        <w:rPr>
          <w:rFonts w:ascii="Times New Roman" w:hAnsi="Times New Roman" w:cs="Times New Roman"/>
          <w:sz w:val="24"/>
          <w:szCs w:val="24"/>
        </w:rPr>
      </w:pPr>
      <w:r>
        <w:rPr>
          <w:rFonts w:ascii="Times New Roman" w:hAnsi="Times New Roman" w:cs="Times New Roman"/>
          <w:sz w:val="24"/>
          <w:szCs w:val="24"/>
          <w:lang w:val="en"/>
        </w:rPr>
        <w:t>We have remedied this issue accordingly. We added separate references for the software used.</w:t>
      </w:r>
    </w:p>
    <w:p>
      <w:pPr>
        <w:pStyle w:val="HTMLPreformatted"/>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color w:val="C00000"/>
          <w:sz w:val="24"/>
          <w:szCs w:val="24"/>
        </w:rPr>
        <w:t>- On the other hand, there are a lot of numerical results, mainly</w:t>
      </w:r>
      <w:r>
        <w:rPr>
          <w:rFonts w:ascii="Times New Roman" w:hAnsi="Times New Roman" w:cs="Times New Roman"/>
          <w:color w:val="C00000"/>
          <w:sz w:val="24"/>
          <w:szCs w:val="24"/>
        </w:rPr>
        <w:br/>
        <w:t>statistical parameters but no visible supporting data. A table would be</w:t>
      </w:r>
      <w:r>
        <w:rPr>
          <w:rFonts w:ascii="Times New Roman" w:hAnsi="Times New Roman" w:cs="Times New Roman"/>
          <w:color w:val="C00000"/>
          <w:sz w:val="24"/>
          <w:szCs w:val="24"/>
        </w:rPr>
        <w:br/>
        <w:t>useful at least for one set of data as an example or if there are too many</w:t>
      </w:r>
      <w:r>
        <w:rPr>
          <w:rFonts w:ascii="Times New Roman" w:hAnsi="Times New Roman" w:cs="Times New Roman"/>
          <w:color w:val="C00000"/>
          <w:sz w:val="24"/>
          <w:szCs w:val="24"/>
        </w:rPr>
        <w:br/>
        <w:t>involved data a supplemental file.</w:t>
      </w:r>
    </w:p>
    <w:p>
      <w:pPr>
        <w:spacing w:line="240" w:lineRule="auto"/>
        <w:rPr>
          <w:color w:val="0076BB"/>
          <w:sz w:val="24"/>
          <w:szCs w:val="24"/>
        </w:rPr>
      </w:pPr>
    </w:p>
    <w:p>
      <w:pPr>
        <w:spacing w:line="240" w:lineRule="auto"/>
        <w:rPr>
          <w:sz w:val="24"/>
          <w:szCs w:val="24"/>
        </w:rPr>
      </w:pPr>
      <w:r>
        <w:rPr>
          <w:sz w:val="24"/>
          <w:szCs w:val="24"/>
        </w:rPr>
        <w:t xml:space="preserve">We have incorporated the statistical data into Table 1. </w:t>
      </w:r>
      <w:proofErr w:type="gramStart"/>
      <w:r>
        <w:rPr>
          <w:sz w:val="24"/>
          <w:szCs w:val="24"/>
        </w:rPr>
        <w:t>Also</w:t>
      </w:r>
      <w:proofErr w:type="gramEnd"/>
      <w:r>
        <w:rPr>
          <w:sz w:val="24"/>
          <w:szCs w:val="24"/>
        </w:rPr>
        <w:t xml:space="preserve"> we added a </w:t>
      </w:r>
      <w:r>
        <w:rPr>
          <w:sz w:val="24"/>
          <w:szCs w:val="24"/>
          <w:lang w:val="en"/>
        </w:rPr>
        <w:t xml:space="preserve">Supplementary Material </w:t>
      </w:r>
      <w:r>
        <w:rPr>
          <w:sz w:val="24"/>
          <w:szCs w:val="24"/>
        </w:rPr>
        <w:t>where detailed explanations along with graphics and tables were presented.</w:t>
      </w:r>
    </w:p>
    <w:p>
      <w:pPr>
        <w:spacing w:line="240" w:lineRule="auto"/>
        <w:rPr>
          <w:sz w:val="24"/>
          <w:szCs w:val="24"/>
        </w:rPr>
      </w:pPr>
    </w:p>
    <w:p>
      <w:pPr>
        <w:spacing w:line="240" w:lineRule="auto"/>
        <w:rPr>
          <w:sz w:val="24"/>
          <w:szCs w:val="24"/>
        </w:rPr>
      </w:pPr>
      <w:r>
        <w:rPr>
          <w:sz w:val="24"/>
          <w:szCs w:val="24"/>
          <w:highlight w:val="yellow"/>
        </w:rPr>
        <w:t>For reviewer C</w:t>
      </w:r>
    </w:p>
    <w:p>
      <w:pPr>
        <w:autoSpaceDE w:val="0"/>
        <w:autoSpaceDN w:val="0"/>
        <w:spacing w:line="240" w:lineRule="auto"/>
        <w:rPr>
          <w:sz w:val="24"/>
          <w:szCs w:val="24"/>
        </w:rPr>
      </w:pPr>
      <w:r>
        <w:rPr>
          <w:sz w:val="24"/>
          <w:szCs w:val="24"/>
        </w:rPr>
        <w:t>We are grateful to the reviewer for useful and interesting remarks, and we tried to address all of them as described below.</w:t>
      </w:r>
    </w:p>
    <w:p>
      <w:pPr>
        <w:spacing w:line="240" w:lineRule="auto"/>
        <w:rPr>
          <w:color w:val="0070C0"/>
          <w:sz w:val="24"/>
          <w:szCs w:val="24"/>
        </w:rPr>
      </w:pPr>
    </w:p>
    <w:p>
      <w:pPr>
        <w:pStyle w:val="HTMLPreformatted"/>
        <w:rPr>
          <w:rFonts w:ascii="Times New Roman" w:hAnsi="Times New Roman" w:cs="Times New Roman"/>
          <w:color w:val="C00000"/>
          <w:sz w:val="24"/>
          <w:szCs w:val="24"/>
        </w:rPr>
      </w:pPr>
      <w:r>
        <w:rPr>
          <w:rFonts w:ascii="Times New Roman" w:hAnsi="Times New Roman" w:cs="Times New Roman"/>
          <w:color w:val="C00000"/>
          <w:sz w:val="24"/>
          <w:szCs w:val="24"/>
        </w:rPr>
        <w:tab/>
        <w:t>The software operation of pharmacophore generation protocol is very</w:t>
      </w:r>
      <w:r>
        <w:rPr>
          <w:rFonts w:ascii="Times New Roman" w:hAnsi="Times New Roman" w:cs="Times New Roman"/>
          <w:color w:val="C00000"/>
          <w:sz w:val="24"/>
          <w:szCs w:val="24"/>
        </w:rPr>
        <w:br/>
        <w:t xml:space="preserve">trivial, a lot of which </w:t>
      </w:r>
      <w:proofErr w:type="gramStart"/>
      <w:r>
        <w:rPr>
          <w:rFonts w:ascii="Times New Roman" w:hAnsi="Times New Roman" w:cs="Times New Roman"/>
          <w:color w:val="C00000"/>
          <w:sz w:val="24"/>
          <w:szCs w:val="24"/>
        </w:rPr>
        <w:t>can be moved</w:t>
      </w:r>
      <w:proofErr w:type="gramEnd"/>
      <w:r>
        <w:rPr>
          <w:rFonts w:ascii="Times New Roman" w:hAnsi="Times New Roman" w:cs="Times New Roman"/>
          <w:color w:val="C00000"/>
          <w:sz w:val="24"/>
          <w:szCs w:val="24"/>
        </w:rPr>
        <w:t xml:space="preserve"> to supporting information, but the core idea and details for the method procedure are not described clearly.</w:t>
      </w:r>
    </w:p>
    <w:p>
      <w:pPr>
        <w:pStyle w:val="HTMLPreformatted"/>
        <w:rPr>
          <w:rFonts w:ascii="Times New Roman" w:hAnsi="Times New Roman" w:cs="Times New Roman"/>
          <w:sz w:val="24"/>
          <w:szCs w:val="24"/>
        </w:rPr>
      </w:pPr>
    </w:p>
    <w:p>
      <w:pPr>
        <w:pStyle w:val="HTMLPreformatted"/>
        <w:rPr>
          <w:rFonts w:ascii="Times New Roman" w:hAnsi="Times New Roman" w:cs="Times New Roman"/>
          <w:sz w:val="24"/>
          <w:szCs w:val="24"/>
        </w:rPr>
      </w:pPr>
      <w:r>
        <w:rPr>
          <w:rFonts w:ascii="Times New Roman" w:hAnsi="Times New Roman" w:cs="Times New Roman"/>
          <w:sz w:val="24"/>
          <w:szCs w:val="24"/>
        </w:rPr>
        <w:t xml:space="preserve">The software operation of pharmacophore generation protocol </w:t>
      </w:r>
      <w:proofErr w:type="gramStart"/>
      <w:r>
        <w:rPr>
          <w:rFonts w:ascii="Times New Roman" w:hAnsi="Times New Roman" w:cs="Times New Roman"/>
          <w:sz w:val="24"/>
          <w:szCs w:val="24"/>
        </w:rPr>
        <w:t>was moved</w:t>
      </w:r>
      <w:proofErr w:type="gramEnd"/>
      <w:r>
        <w:rPr>
          <w:rFonts w:ascii="Times New Roman" w:hAnsi="Times New Roman" w:cs="Times New Roman"/>
          <w:sz w:val="24"/>
          <w:szCs w:val="24"/>
        </w:rPr>
        <w:t xml:space="preserve"> to </w:t>
      </w:r>
      <w:r>
        <w:rPr>
          <w:rFonts w:ascii="Times New Roman" w:hAnsi="Times New Roman" w:cs="Times New Roman"/>
          <w:sz w:val="24"/>
          <w:szCs w:val="24"/>
          <w:lang w:val="en"/>
        </w:rPr>
        <w:t>Supplementary Material</w:t>
      </w:r>
      <w:r>
        <w:rPr>
          <w:rFonts w:ascii="Times New Roman" w:hAnsi="Times New Roman" w:cs="Times New Roman"/>
          <w:sz w:val="24"/>
          <w:szCs w:val="24"/>
        </w:rPr>
        <w:t xml:space="preserve">. More details and information </w:t>
      </w:r>
      <w:proofErr w:type="gramStart"/>
      <w:r>
        <w:rPr>
          <w:rFonts w:ascii="Times New Roman" w:hAnsi="Times New Roman" w:cs="Times New Roman"/>
          <w:sz w:val="24"/>
          <w:szCs w:val="24"/>
        </w:rPr>
        <w:t>were added</w:t>
      </w:r>
      <w:proofErr w:type="gramEnd"/>
      <w:r>
        <w:rPr>
          <w:rFonts w:ascii="Times New Roman" w:hAnsi="Times New Roman" w:cs="Times New Roman"/>
          <w:sz w:val="24"/>
          <w:szCs w:val="24"/>
        </w:rPr>
        <w:t xml:space="preserve"> for clarification.  </w:t>
      </w:r>
    </w:p>
    <w:p>
      <w:pPr>
        <w:pStyle w:val="HTMLPreformatted"/>
        <w:rPr>
          <w:rFonts w:ascii="Times New Roman" w:hAnsi="Times New Roman" w:cs="Times New Roman"/>
          <w:color w:val="C00000"/>
          <w:sz w:val="24"/>
          <w:szCs w:val="24"/>
        </w:rPr>
      </w:pPr>
      <w:r>
        <w:rPr>
          <w:rFonts w:ascii="Times New Roman" w:hAnsi="Times New Roman" w:cs="Times New Roman"/>
          <w:sz w:val="24"/>
          <w:szCs w:val="24"/>
        </w:rPr>
        <w:br/>
      </w:r>
      <w:r>
        <w:rPr>
          <w:rFonts w:ascii="Times New Roman" w:hAnsi="Times New Roman" w:cs="Times New Roman"/>
          <w:color w:val="C00000"/>
          <w:sz w:val="24"/>
          <w:szCs w:val="24"/>
        </w:rPr>
        <w:tab/>
        <w:t xml:space="preserve">The section title “EXPERIMENTAL” </w:t>
      </w:r>
      <w:proofErr w:type="gramStart"/>
      <w:r>
        <w:rPr>
          <w:rFonts w:ascii="Times New Roman" w:hAnsi="Times New Roman" w:cs="Times New Roman"/>
          <w:color w:val="C00000"/>
          <w:sz w:val="24"/>
          <w:szCs w:val="24"/>
        </w:rPr>
        <w:t>should not be used</w:t>
      </w:r>
      <w:proofErr w:type="gramEnd"/>
      <w:r>
        <w:rPr>
          <w:rFonts w:ascii="Times New Roman" w:hAnsi="Times New Roman" w:cs="Times New Roman"/>
          <w:color w:val="C00000"/>
          <w:sz w:val="24"/>
          <w:szCs w:val="24"/>
        </w:rPr>
        <w:t xml:space="preserve"> for a pure</w:t>
      </w:r>
      <w:r>
        <w:rPr>
          <w:rFonts w:ascii="Times New Roman" w:hAnsi="Times New Roman" w:cs="Times New Roman"/>
          <w:color w:val="C00000"/>
          <w:sz w:val="24"/>
          <w:szCs w:val="24"/>
        </w:rPr>
        <w:br/>
        <w:t>computational study, because it may mislead readers.</w:t>
      </w:r>
    </w:p>
    <w:p>
      <w:pPr>
        <w:pStyle w:val="HTMLPreformatted"/>
        <w:rPr>
          <w:rFonts w:ascii="Times New Roman" w:hAnsi="Times New Roman" w:cs="Times New Roman"/>
          <w:color w:val="C00000"/>
          <w:sz w:val="24"/>
          <w:szCs w:val="24"/>
        </w:rPr>
      </w:pPr>
    </w:p>
    <w:p>
      <w:pPr>
        <w:pStyle w:val="HTMLPreformatted"/>
        <w:rPr>
          <w:rFonts w:ascii="Times New Roman" w:hAnsi="Times New Roman" w:cs="Times New Roman"/>
          <w:sz w:val="24"/>
          <w:szCs w:val="24"/>
        </w:rPr>
      </w:pPr>
      <w:proofErr w:type="gramStart"/>
      <w:r>
        <w:rPr>
          <w:rFonts w:ascii="Times New Roman" w:hAnsi="Times New Roman" w:cs="Times New Roman"/>
          <w:sz w:val="24"/>
          <w:szCs w:val="24"/>
        </w:rPr>
        <w:t>The section title “EXPERIMENTAL” has been replaced by “Computational Methods</w:t>
      </w:r>
      <w:proofErr w:type="gramEnd"/>
      <w:r>
        <w:rPr>
          <w:rFonts w:ascii="Times New Roman" w:hAnsi="Times New Roman" w:cs="Times New Roman"/>
          <w:sz w:val="24"/>
          <w:szCs w:val="24"/>
        </w:rPr>
        <w:t>”.</w:t>
      </w:r>
    </w:p>
    <w:p>
      <w:pPr>
        <w:pStyle w:val="HTMLPreformatted"/>
        <w:rPr>
          <w:rFonts w:ascii="Times New Roman" w:hAnsi="Times New Roman" w:cs="Times New Roman"/>
          <w:color w:val="C00000"/>
          <w:sz w:val="24"/>
          <w:szCs w:val="24"/>
        </w:rPr>
      </w:pPr>
      <w:r>
        <w:rPr>
          <w:rFonts w:ascii="Times New Roman" w:hAnsi="Times New Roman" w:cs="Times New Roman"/>
          <w:sz w:val="24"/>
          <w:szCs w:val="24"/>
        </w:rPr>
        <w:br/>
      </w:r>
      <w:r>
        <w:rPr>
          <w:rFonts w:ascii="Times New Roman" w:hAnsi="Times New Roman" w:cs="Times New Roman"/>
          <w:color w:val="C00000"/>
          <w:sz w:val="24"/>
          <w:szCs w:val="24"/>
        </w:rPr>
        <w:tab/>
        <w:t xml:space="preserve">The sample set of 26 compounds is too small to perform a statistically significant QSAR </w:t>
      </w:r>
      <w:proofErr w:type="spellStart"/>
      <w:r>
        <w:rPr>
          <w:rFonts w:ascii="Times New Roman" w:hAnsi="Times New Roman" w:cs="Times New Roman"/>
          <w:color w:val="C00000"/>
          <w:sz w:val="24"/>
          <w:szCs w:val="24"/>
        </w:rPr>
        <w:t>modeling</w:t>
      </w:r>
      <w:proofErr w:type="spellEnd"/>
      <w:r>
        <w:rPr>
          <w:rFonts w:ascii="Times New Roman" w:hAnsi="Times New Roman" w:cs="Times New Roman"/>
          <w:color w:val="C00000"/>
          <w:sz w:val="24"/>
          <w:szCs w:val="24"/>
        </w:rPr>
        <w:t xml:space="preserve">, which should be at least more than 30 samples. Considering </w:t>
      </w:r>
      <w:proofErr w:type="gramStart"/>
      <w:r>
        <w:rPr>
          <w:rFonts w:ascii="Times New Roman" w:hAnsi="Times New Roman" w:cs="Times New Roman"/>
          <w:color w:val="C00000"/>
          <w:sz w:val="24"/>
          <w:szCs w:val="24"/>
        </w:rPr>
        <w:t>that</w:t>
      </w:r>
      <w:proofErr w:type="gramEnd"/>
      <w:r>
        <w:rPr>
          <w:rFonts w:ascii="Times New Roman" w:hAnsi="Times New Roman" w:cs="Times New Roman"/>
          <w:color w:val="C00000"/>
          <w:sz w:val="24"/>
          <w:szCs w:val="24"/>
        </w:rPr>
        <w:t xml:space="preserve"> the sample set is small, random splitting of training and test sets are not reliable because it may obtain a good result by accident; some other methods such as D-optimal and k-NN may be more useful for the current problem.</w:t>
      </w:r>
    </w:p>
    <w:p>
      <w:pPr>
        <w:pStyle w:val="HTMLPreformatted"/>
        <w:rPr>
          <w:rFonts w:ascii="Times New Roman" w:hAnsi="Times New Roman" w:cs="Times New Roman"/>
          <w:sz w:val="24"/>
          <w:szCs w:val="24"/>
        </w:rPr>
      </w:pPr>
    </w:p>
    <w:p>
      <w:pPr>
        <w:pStyle w:val="HTMLPreformatted"/>
        <w:rPr>
          <w:rFonts w:ascii="Times New Roman" w:hAnsi="Times New Roman" w:cs="Times New Roman"/>
          <w:sz w:val="24"/>
          <w:szCs w:val="24"/>
        </w:rPr>
      </w:pPr>
      <w:r>
        <w:rPr>
          <w:rFonts w:ascii="Times New Roman" w:hAnsi="Times New Roman" w:cs="Times New Roman"/>
          <w:sz w:val="24"/>
          <w:szCs w:val="24"/>
        </w:rPr>
        <w:t xml:space="preserve">Indeed, the Phase software has the option to split randomly the training and test sets, </w:t>
      </w:r>
      <w:r>
        <w:rPr>
          <w:rFonts w:ascii="Times New Roman" w:hAnsi="Times New Roman" w:cs="Times New Roman"/>
          <w:sz w:val="24"/>
          <w:szCs w:val="24"/>
          <w:lang w:val="en"/>
        </w:rPr>
        <w:t xml:space="preserve">but our </w:t>
      </w:r>
      <w:r>
        <w:rPr>
          <w:rFonts w:ascii="Times New Roman" w:hAnsi="Times New Roman" w:cs="Times New Roman"/>
          <w:sz w:val="24"/>
          <w:szCs w:val="24"/>
          <w:lang w:val="en"/>
        </w:rPr>
        <w:lastRenderedPageBreak/>
        <w:t xml:space="preserve">approach was a little different. We followed the recommendation of </w:t>
      </w:r>
      <w:proofErr w:type="spellStart"/>
      <w:r>
        <w:rPr>
          <w:rFonts w:ascii="Times New Roman" w:hAnsi="Times New Roman" w:cs="Times New Roman"/>
          <w:sz w:val="24"/>
          <w:szCs w:val="24"/>
        </w:rPr>
        <w:t>Golbraikh</w:t>
      </w:r>
      <w:proofErr w:type="spellEnd"/>
      <w:r>
        <w:rPr>
          <w:rFonts w:ascii="Times New Roman" w:hAnsi="Times New Roman" w:cs="Times New Roman"/>
          <w:sz w:val="24"/>
          <w:szCs w:val="24"/>
        </w:rPr>
        <w:t xml:space="preserve"> papers [1-3]: </w:t>
      </w:r>
    </w:p>
    <w:p>
      <w:pPr>
        <w:pStyle w:val="HTMLPreformatted"/>
        <w:rPr>
          <w:rFonts w:ascii="Times New Roman" w:hAnsi="Times New Roman" w:cs="Times New Roman"/>
          <w:sz w:val="24"/>
          <w:szCs w:val="24"/>
        </w:rPr>
      </w:pPr>
      <w:r>
        <w:rPr>
          <w:rFonts w:ascii="Times New Roman" w:hAnsi="Times New Roman" w:cs="Times New Roman"/>
          <w:sz w:val="24"/>
          <w:szCs w:val="24"/>
        </w:rPr>
        <w:t>(1) “</w:t>
      </w:r>
      <w:r>
        <w:rPr>
          <w:rFonts w:ascii="Times New Roman" w:hAnsi="Times New Roman" w:cs="Times New Roman"/>
          <w:sz w:val="24"/>
          <w:szCs w:val="24"/>
          <w:lang w:val="en-US"/>
        </w:rPr>
        <w:t>On the basis of our analysis, we suggest that the test set must include no less than five compounds, whose activities and structures must cover the range of activities (see Figure S1) and structures of compounds from the training set.</w:t>
      </w:r>
      <w:r>
        <w:rPr>
          <w:rFonts w:ascii="Times New Roman" w:hAnsi="Times New Roman" w:cs="Times New Roman"/>
          <w:sz w:val="24"/>
          <w:szCs w:val="24"/>
        </w:rPr>
        <w:t>”</w:t>
      </w:r>
    </w:p>
    <w:p>
      <w:pPr>
        <w:autoSpaceDE w:val="0"/>
        <w:autoSpaceDN w:val="0"/>
        <w:spacing w:line="240" w:lineRule="auto"/>
        <w:rPr>
          <w:bCs/>
          <w:sz w:val="24"/>
          <w:szCs w:val="24"/>
        </w:rPr>
      </w:pPr>
      <w:r>
        <w:rPr>
          <w:bCs/>
          <w:sz w:val="24"/>
          <w:szCs w:val="24"/>
        </w:rPr>
        <w:t>(2) “Ideally, the division into the training and test set must satisfy the following three conditions: (</w:t>
      </w:r>
      <w:proofErr w:type="spellStart"/>
      <w:r>
        <w:rPr>
          <w:bCs/>
          <w:sz w:val="24"/>
          <w:szCs w:val="24"/>
        </w:rPr>
        <w:t>i</w:t>
      </w:r>
      <w:proofErr w:type="spellEnd"/>
      <w:r>
        <w:rPr>
          <w:bCs/>
          <w:sz w:val="24"/>
          <w:szCs w:val="24"/>
        </w:rPr>
        <w:t xml:space="preserve">) All representative compound-points of the test set in the multidimensional descriptor space must be close to those of the training set. (ii) All representative points of the training set must be close to those of the test set. (iii) The representative points of the training set must be distributed within the whole area occupied by the entire dataset.” To verify this in our case we have calculated the similarity between our training and test sets: </w:t>
      </w:r>
    </w:p>
    <w:p>
      <w:pPr>
        <w:pStyle w:val="HTMLPreformatted"/>
        <w:rPr>
          <w:rFonts w:ascii="Times New Roman" w:hAnsi="Times New Roman" w:cs="Times New Roman"/>
          <w:color w:val="0070C0"/>
          <w:sz w:val="24"/>
          <w:szCs w:val="24"/>
        </w:rPr>
      </w:pPr>
    </w:p>
    <w:p>
      <w:pPr>
        <w:spacing w:line="240" w:lineRule="auto"/>
        <w:rPr>
          <w:sz w:val="24"/>
          <w:szCs w:val="24"/>
        </w:rPr>
      </w:pPr>
      <w:r>
        <w:rPr>
          <w:sz w:val="24"/>
          <w:szCs w:val="24"/>
        </w:rPr>
        <w:t xml:space="preserve">1. A. </w:t>
      </w:r>
      <w:proofErr w:type="spellStart"/>
      <w:r>
        <w:rPr>
          <w:sz w:val="24"/>
          <w:szCs w:val="24"/>
        </w:rPr>
        <w:t>Golbraikh</w:t>
      </w:r>
      <w:proofErr w:type="spellEnd"/>
      <w:r>
        <w:rPr>
          <w:sz w:val="24"/>
          <w:szCs w:val="24"/>
        </w:rPr>
        <w:t xml:space="preserve">, A. </w:t>
      </w:r>
      <w:proofErr w:type="spellStart"/>
      <w:r>
        <w:rPr>
          <w:sz w:val="24"/>
          <w:szCs w:val="24"/>
        </w:rPr>
        <w:t>Tropsha</w:t>
      </w:r>
      <w:proofErr w:type="spellEnd"/>
      <w:r>
        <w:rPr>
          <w:sz w:val="24"/>
          <w:szCs w:val="24"/>
        </w:rPr>
        <w:t xml:space="preserve">, </w:t>
      </w:r>
      <w:r>
        <w:rPr>
          <w:i/>
          <w:sz w:val="24"/>
          <w:szCs w:val="24"/>
        </w:rPr>
        <w:t>J. Mol. Graph. Model.</w:t>
      </w:r>
      <w:r>
        <w:rPr>
          <w:sz w:val="24"/>
          <w:szCs w:val="24"/>
        </w:rPr>
        <w:t xml:space="preserve"> </w:t>
      </w:r>
      <w:r>
        <w:rPr>
          <w:b/>
          <w:sz w:val="24"/>
          <w:szCs w:val="24"/>
        </w:rPr>
        <w:t>20</w:t>
      </w:r>
      <w:r>
        <w:rPr>
          <w:sz w:val="24"/>
          <w:szCs w:val="24"/>
        </w:rPr>
        <w:t xml:space="preserve"> (2002) 269 (</w:t>
      </w:r>
      <w:hyperlink r:id="rId7" w:history="1">
        <w:r>
          <w:rPr>
            <w:rStyle w:val="Hyperlink"/>
            <w:color w:val="auto"/>
            <w:sz w:val="24"/>
            <w:szCs w:val="24"/>
          </w:rPr>
          <w:t>https://doi.org/10.1016/S1093-3263(01)00123-1</w:t>
        </w:r>
      </w:hyperlink>
      <w:r>
        <w:rPr>
          <w:sz w:val="24"/>
          <w:szCs w:val="24"/>
        </w:rPr>
        <w:t>)</w:t>
      </w:r>
    </w:p>
    <w:p>
      <w:pPr>
        <w:spacing w:line="240" w:lineRule="auto"/>
        <w:rPr>
          <w:sz w:val="24"/>
          <w:szCs w:val="24"/>
        </w:rPr>
      </w:pPr>
      <w:r>
        <w:rPr>
          <w:sz w:val="24"/>
          <w:szCs w:val="24"/>
        </w:rPr>
        <w:t xml:space="preserve">2. A. </w:t>
      </w:r>
      <w:proofErr w:type="spellStart"/>
      <w:r>
        <w:rPr>
          <w:sz w:val="24"/>
          <w:szCs w:val="24"/>
        </w:rPr>
        <w:t>Golbraikh</w:t>
      </w:r>
      <w:proofErr w:type="spellEnd"/>
      <w:r>
        <w:rPr>
          <w:sz w:val="24"/>
          <w:szCs w:val="24"/>
        </w:rPr>
        <w:t xml:space="preserve">, A. </w:t>
      </w:r>
      <w:proofErr w:type="spellStart"/>
      <w:r>
        <w:rPr>
          <w:sz w:val="24"/>
          <w:szCs w:val="24"/>
        </w:rPr>
        <w:t>Tropsha</w:t>
      </w:r>
      <w:proofErr w:type="spellEnd"/>
      <w:r>
        <w:rPr>
          <w:sz w:val="24"/>
          <w:szCs w:val="24"/>
        </w:rPr>
        <w:t xml:space="preserve">, </w:t>
      </w:r>
      <w:r>
        <w:rPr>
          <w:i/>
          <w:sz w:val="24"/>
          <w:szCs w:val="24"/>
        </w:rPr>
        <w:t xml:space="preserve">J. </w:t>
      </w:r>
      <w:proofErr w:type="spellStart"/>
      <w:r>
        <w:rPr>
          <w:i/>
          <w:sz w:val="24"/>
          <w:szCs w:val="24"/>
        </w:rPr>
        <w:t>Comput</w:t>
      </w:r>
      <w:proofErr w:type="spellEnd"/>
      <w:r>
        <w:rPr>
          <w:i/>
          <w:sz w:val="24"/>
          <w:szCs w:val="24"/>
        </w:rPr>
        <w:t>. Aided Mol. Des.</w:t>
      </w:r>
      <w:r>
        <w:rPr>
          <w:sz w:val="24"/>
          <w:szCs w:val="24"/>
        </w:rPr>
        <w:t xml:space="preserve"> </w:t>
      </w:r>
      <w:r>
        <w:rPr>
          <w:b/>
          <w:sz w:val="24"/>
          <w:szCs w:val="24"/>
        </w:rPr>
        <w:t xml:space="preserve">16 </w:t>
      </w:r>
      <w:r>
        <w:rPr>
          <w:sz w:val="24"/>
          <w:szCs w:val="24"/>
        </w:rPr>
        <w:t>(2002) 357 (</w:t>
      </w:r>
      <w:hyperlink r:id="rId8" w:history="1">
        <w:r>
          <w:rPr>
            <w:rStyle w:val="Hyperlink"/>
            <w:color w:val="auto"/>
            <w:sz w:val="24"/>
            <w:szCs w:val="24"/>
          </w:rPr>
          <w:t>https://doi.org/10.1023/A:1020869118689</w:t>
        </w:r>
      </w:hyperlink>
      <w:r>
        <w:rPr>
          <w:sz w:val="24"/>
          <w:szCs w:val="24"/>
        </w:rPr>
        <w:t>)</w:t>
      </w:r>
    </w:p>
    <w:p>
      <w:pPr>
        <w:autoSpaceDE w:val="0"/>
        <w:autoSpaceDN w:val="0"/>
        <w:spacing w:line="240" w:lineRule="auto"/>
        <w:rPr>
          <w:i/>
          <w:iCs/>
          <w:sz w:val="24"/>
          <w:szCs w:val="24"/>
        </w:rPr>
      </w:pPr>
      <w:r>
        <w:rPr>
          <w:sz w:val="24"/>
          <w:szCs w:val="24"/>
        </w:rPr>
        <w:t xml:space="preserve">3. A. </w:t>
      </w:r>
      <w:proofErr w:type="spellStart"/>
      <w:r>
        <w:rPr>
          <w:sz w:val="24"/>
          <w:szCs w:val="24"/>
        </w:rPr>
        <w:t>Golbraikh</w:t>
      </w:r>
      <w:proofErr w:type="spellEnd"/>
      <w:r>
        <w:rPr>
          <w:sz w:val="24"/>
          <w:szCs w:val="24"/>
        </w:rPr>
        <w:t xml:space="preserve">, M. Shen, Z. Xiao, Y.-D. Xiao, K.-H. Lee, A. </w:t>
      </w:r>
      <w:proofErr w:type="spellStart"/>
      <w:r>
        <w:rPr>
          <w:sz w:val="24"/>
          <w:szCs w:val="24"/>
        </w:rPr>
        <w:t>Tropsha</w:t>
      </w:r>
      <w:proofErr w:type="spellEnd"/>
      <w:r>
        <w:rPr>
          <w:sz w:val="24"/>
          <w:szCs w:val="24"/>
        </w:rPr>
        <w:t xml:space="preserve">, </w:t>
      </w:r>
      <w:r>
        <w:rPr>
          <w:bCs/>
          <w:i/>
          <w:iCs/>
          <w:sz w:val="24"/>
          <w:szCs w:val="24"/>
        </w:rPr>
        <w:t xml:space="preserve">J. </w:t>
      </w:r>
      <w:proofErr w:type="spellStart"/>
      <w:r>
        <w:rPr>
          <w:bCs/>
          <w:i/>
          <w:iCs/>
          <w:sz w:val="24"/>
          <w:szCs w:val="24"/>
        </w:rPr>
        <w:t>Comput</w:t>
      </w:r>
      <w:proofErr w:type="spellEnd"/>
      <w:r>
        <w:rPr>
          <w:bCs/>
          <w:i/>
          <w:iCs/>
          <w:sz w:val="24"/>
          <w:szCs w:val="24"/>
        </w:rPr>
        <w:t>. Aid. Mol. Des.</w:t>
      </w:r>
      <w:r>
        <w:rPr>
          <w:i/>
          <w:iCs/>
          <w:sz w:val="24"/>
          <w:szCs w:val="24"/>
        </w:rPr>
        <w:t xml:space="preserve"> </w:t>
      </w:r>
      <w:r>
        <w:rPr>
          <w:b/>
          <w:bCs/>
          <w:sz w:val="24"/>
          <w:szCs w:val="24"/>
        </w:rPr>
        <w:t>17</w:t>
      </w:r>
      <w:r>
        <w:rPr>
          <w:bCs/>
          <w:sz w:val="24"/>
          <w:szCs w:val="24"/>
        </w:rPr>
        <w:t xml:space="preserve"> (</w:t>
      </w:r>
      <w:r>
        <w:rPr>
          <w:sz w:val="24"/>
          <w:szCs w:val="24"/>
        </w:rPr>
        <w:t>2003)</w:t>
      </w:r>
      <w:r>
        <w:rPr>
          <w:b/>
          <w:bCs/>
          <w:sz w:val="24"/>
          <w:szCs w:val="24"/>
        </w:rPr>
        <w:t xml:space="preserve"> </w:t>
      </w:r>
      <w:r>
        <w:rPr>
          <w:sz w:val="24"/>
          <w:szCs w:val="24"/>
        </w:rPr>
        <w:t>241 (</w:t>
      </w:r>
      <w:r>
        <w:rPr>
          <w:sz w:val="24"/>
          <w:szCs w:val="24"/>
          <w:u w:val="single"/>
        </w:rPr>
        <w:t>https://doi.org/10.1023/A:1025386326946</w:t>
      </w:r>
      <w:r>
        <w:rPr>
          <w:sz w:val="24"/>
          <w:szCs w:val="24"/>
        </w:rPr>
        <w:t>)</w:t>
      </w:r>
    </w:p>
    <w:p>
      <w:pPr>
        <w:pStyle w:val="HTMLPreformatted"/>
        <w:rPr>
          <w:rFonts w:ascii="Times New Roman" w:hAnsi="Times New Roman" w:cs="Times New Roman"/>
          <w:color w:val="0070C0"/>
          <w:sz w:val="24"/>
          <w:szCs w:val="24"/>
        </w:rPr>
      </w:pPr>
    </w:p>
    <w:p>
      <w:pPr>
        <w:pStyle w:val="HTMLPreformatted"/>
        <w:jc w:val="center"/>
        <w:rPr>
          <w:rFonts w:ascii="Times New Roman" w:hAnsi="Times New Roman" w:cs="Times New Roman"/>
          <w:color w:val="0070C0"/>
          <w:sz w:val="24"/>
          <w:szCs w:val="24"/>
        </w:rPr>
      </w:pPr>
      <w:r>
        <w:rPr>
          <w:rFonts w:ascii="Times New Roman" w:hAnsi="Times New Roman" w:cs="Times New Roman"/>
          <w:noProof/>
          <w:color w:val="0070C0"/>
          <w:sz w:val="24"/>
          <w:szCs w:val="24"/>
        </w:rPr>
        <w:drawing>
          <wp:inline distT="0" distB="0" distL="0" distR="0">
            <wp:extent cx="1589964" cy="14141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032" r="13762"/>
                    <a:stretch/>
                  </pic:blipFill>
                  <pic:spPr bwMode="auto">
                    <a:xfrm>
                      <a:off x="0" y="0"/>
                      <a:ext cx="1625869" cy="1446120"/>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HTMLPreformatted"/>
        <w:jc w:val="center"/>
        <w:rPr>
          <w:rFonts w:ascii="Times New Roman" w:hAnsi="Times New Roman" w:cs="Times New Roman"/>
          <w:color w:val="2E74B5" w:themeColor="accent1" w:themeShade="BF"/>
          <w:sz w:val="24"/>
          <w:szCs w:val="24"/>
        </w:rPr>
      </w:pPr>
      <w:r>
        <w:rPr>
          <w:rFonts w:ascii="Times New Roman" w:hAnsi="Times New Roman" w:cs="Times New Roman"/>
          <w:sz w:val="24"/>
          <w:szCs w:val="24"/>
          <w:lang w:val="en-US"/>
        </w:rPr>
        <w:t>Figure S1. Histogram</w:t>
      </w:r>
      <w:r>
        <w:rPr>
          <w:rFonts w:ascii="Times New Roman" w:hAnsi="Times New Roman" w:cs="Times New Roman"/>
          <w:sz w:val="24"/>
          <w:szCs w:val="24"/>
        </w:rPr>
        <w:t xml:space="preserve"> </w:t>
      </w:r>
      <w:r>
        <w:rPr>
          <w:rFonts w:ascii="Times New Roman" w:hAnsi="Times New Roman" w:cs="Times New Roman"/>
          <w:sz w:val="24"/>
          <w:szCs w:val="24"/>
          <w:lang w:val="en-US"/>
        </w:rPr>
        <w:t>of dataset pIC50 distribution.</w:t>
      </w:r>
    </w:p>
    <w:p>
      <w:pPr>
        <w:pStyle w:val="HTMLPreformatted"/>
        <w:rPr>
          <w:rFonts w:ascii="Times New Roman" w:hAnsi="Times New Roman" w:cs="Times New Roman"/>
          <w:color w:val="0070C0"/>
          <w:sz w:val="24"/>
          <w:szCs w:val="24"/>
        </w:rPr>
      </w:pPr>
    </w:p>
    <w:p>
      <w:pPr>
        <w:pStyle w:val="HTMLPreformatted"/>
        <w:rPr>
          <w:rFonts w:ascii="Times New Roman" w:hAnsi="Times New Roman" w:cs="Times New Roman"/>
          <w:sz w:val="24"/>
          <w:szCs w:val="24"/>
        </w:rPr>
      </w:pPr>
      <w:r>
        <w:rPr>
          <w:rFonts w:ascii="Times New Roman" w:hAnsi="Times New Roman" w:cs="Times New Roman"/>
          <w:color w:val="0070C0"/>
          <w:sz w:val="24"/>
          <w:szCs w:val="24"/>
        </w:rPr>
        <w:t xml:space="preserve">   </w:t>
      </w:r>
      <w:r>
        <w:rPr>
          <w:rFonts w:ascii="Times New Roman" w:hAnsi="Times New Roman" w:cs="Times New Roman"/>
          <w:sz w:val="24"/>
          <w:szCs w:val="24"/>
        </w:rPr>
        <w:t xml:space="preserve">Peter Willett [4] demonstrates that the well-known </w:t>
      </w:r>
      <w:proofErr w:type="spellStart"/>
      <w:r>
        <w:rPr>
          <w:rFonts w:ascii="Times New Roman" w:hAnsi="Times New Roman" w:cs="Times New Roman"/>
          <w:sz w:val="24"/>
          <w:szCs w:val="24"/>
        </w:rPr>
        <w:t>Tanimoto</w:t>
      </w:r>
      <w:proofErr w:type="spellEnd"/>
      <w:r>
        <w:rPr>
          <w:rFonts w:ascii="Times New Roman" w:hAnsi="Times New Roman" w:cs="Times New Roman"/>
          <w:sz w:val="24"/>
          <w:szCs w:val="24"/>
        </w:rPr>
        <w:t xml:space="preserve"> coefficient remains the method of choice for the computation of fingerprint-based similarity. The </w:t>
      </w:r>
      <w:proofErr w:type="spellStart"/>
      <w:r>
        <w:rPr>
          <w:rFonts w:ascii="Times New Roman" w:hAnsi="Times New Roman" w:cs="Times New Roman"/>
          <w:sz w:val="24"/>
          <w:szCs w:val="24"/>
        </w:rPr>
        <w:t>Tanimoto</w:t>
      </w:r>
      <w:proofErr w:type="spellEnd"/>
      <w:r>
        <w:rPr>
          <w:rFonts w:ascii="Times New Roman" w:hAnsi="Times New Roman" w:cs="Times New Roman"/>
          <w:sz w:val="24"/>
          <w:szCs w:val="24"/>
        </w:rPr>
        <w:t xml:space="preserve"> coefficient </w:t>
      </w:r>
      <w:proofErr w:type="gramStart"/>
      <w:r>
        <w:rPr>
          <w:rFonts w:ascii="Times New Roman" w:hAnsi="Times New Roman" w:cs="Times New Roman"/>
          <w:sz w:val="24"/>
          <w:szCs w:val="24"/>
        </w:rPr>
        <w:t>was calculated</w:t>
      </w:r>
      <w:proofErr w:type="gramEnd"/>
      <w:r>
        <w:rPr>
          <w:rFonts w:ascii="Times New Roman" w:hAnsi="Times New Roman" w:cs="Times New Roman"/>
          <w:sz w:val="24"/>
          <w:szCs w:val="24"/>
        </w:rPr>
        <w:t xml:space="preserve"> in order to have a quantitative basis, a similarity measure, and to assess the degree of resemblance between the training set and the test set. The </w:t>
      </w:r>
      <w:proofErr w:type="spellStart"/>
      <w:r>
        <w:rPr>
          <w:rFonts w:ascii="Times New Roman" w:hAnsi="Times New Roman" w:cs="Times New Roman"/>
          <w:sz w:val="24"/>
          <w:szCs w:val="24"/>
        </w:rPr>
        <w:t>Tanimoto</w:t>
      </w:r>
      <w:proofErr w:type="spellEnd"/>
      <w:r>
        <w:rPr>
          <w:rFonts w:ascii="Times New Roman" w:hAnsi="Times New Roman" w:cs="Times New Roman"/>
          <w:sz w:val="24"/>
          <w:szCs w:val="24"/>
        </w:rPr>
        <w:t xml:space="preserve"> similarity was computed using MACCS </w:t>
      </w:r>
      <w:proofErr w:type="gramStart"/>
      <w:r>
        <w:rPr>
          <w:rFonts w:ascii="Times New Roman" w:hAnsi="Times New Roman" w:cs="Times New Roman"/>
          <w:sz w:val="24"/>
          <w:szCs w:val="24"/>
        </w:rPr>
        <w:t>fingerprints,</w:t>
      </w:r>
      <w:proofErr w:type="gramEnd"/>
      <w:r>
        <w:rPr>
          <w:rFonts w:ascii="Times New Roman" w:hAnsi="Times New Roman" w:cs="Times New Roman"/>
          <w:sz w:val="24"/>
          <w:szCs w:val="24"/>
        </w:rPr>
        <w:t xml:space="preserve"> calculated with KNIME. The test -training pairwise similarity values display a distribution shifted toward high values (0.85–1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Figure S2).</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2060"/>
          <w:sz w:val="24"/>
          <w:szCs w:val="24"/>
        </w:rPr>
      </w:pPr>
      <w:r>
        <w:rPr>
          <w:noProof/>
          <w:color w:val="002060"/>
          <w:sz w:val="24"/>
          <w:szCs w:val="24"/>
        </w:rPr>
        <w:drawing>
          <wp:inline distT="0" distB="0" distL="0" distR="0">
            <wp:extent cx="2695433" cy="1588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ining-test.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9257" cy="1608437"/>
                    </a:xfrm>
                    <a:prstGeom prst="rect">
                      <a:avLst/>
                    </a:prstGeom>
                  </pic:spPr>
                </pic:pic>
              </a:graphicData>
            </a:graphic>
          </wp:inline>
        </w:drawing>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206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Pr>
          <w:sz w:val="24"/>
          <w:szCs w:val="24"/>
        </w:rPr>
        <w:t xml:space="preserve">Figure S2. The distribution of 2D </w:t>
      </w:r>
      <w:proofErr w:type="spellStart"/>
      <w:r>
        <w:rPr>
          <w:sz w:val="24"/>
          <w:szCs w:val="24"/>
        </w:rPr>
        <w:t>Tanimoto</w:t>
      </w:r>
      <w:proofErr w:type="spellEnd"/>
      <w:r>
        <w:rPr>
          <w:sz w:val="24"/>
          <w:szCs w:val="24"/>
        </w:rPr>
        <w:t xml:space="preserve"> coefficients values for training and test sets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
          <w:sz w:val="24"/>
          <w:szCs w:val="24"/>
        </w:rPr>
      </w:pPr>
      <w:r>
        <w:rPr>
          <w:sz w:val="24"/>
          <w:szCs w:val="24"/>
        </w:rPr>
        <w:t xml:space="preserve">4. P. Willett, </w:t>
      </w:r>
      <w:r>
        <w:rPr>
          <w:bCs/>
          <w:i/>
          <w:sz w:val="24"/>
          <w:szCs w:val="24"/>
        </w:rPr>
        <w:t xml:space="preserve">Drug. </w:t>
      </w:r>
      <w:proofErr w:type="spellStart"/>
      <w:r>
        <w:rPr>
          <w:bCs/>
          <w:i/>
          <w:sz w:val="24"/>
          <w:szCs w:val="24"/>
        </w:rPr>
        <w:t>Discov</w:t>
      </w:r>
      <w:proofErr w:type="spellEnd"/>
      <w:r>
        <w:rPr>
          <w:bCs/>
          <w:i/>
          <w:sz w:val="24"/>
          <w:szCs w:val="24"/>
        </w:rPr>
        <w:t>. Today.</w:t>
      </w:r>
      <w:r>
        <w:rPr>
          <w:i/>
          <w:sz w:val="24"/>
          <w:szCs w:val="24"/>
        </w:rPr>
        <w:t xml:space="preserve"> </w:t>
      </w:r>
      <w:r>
        <w:rPr>
          <w:b/>
          <w:sz w:val="24"/>
          <w:szCs w:val="24"/>
        </w:rPr>
        <w:t>11</w:t>
      </w:r>
      <w:r>
        <w:rPr>
          <w:sz w:val="24"/>
          <w:szCs w:val="24"/>
        </w:rPr>
        <w:t xml:space="preserve"> (2006) 1046 </w:t>
      </w:r>
      <w:hyperlink r:id="rId11" w:history="1">
        <w:r>
          <w:rPr>
            <w:rStyle w:val="Hyperlink"/>
            <w:color w:val="auto"/>
            <w:sz w:val="24"/>
            <w:szCs w:val="24"/>
          </w:rPr>
          <w:t>10.1016/j.drudis.2006.10.005</w:t>
        </w:r>
      </w:hyperlink>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In addition, we used the Euclidean Distance algorithm to work out the similarity between each two pairs of compounds by computing the score for each pair of nodes. The zero value for Euclidean Distance means absolute identity. For the training and test sets the distribution of values for Euclidean Distance are similar ((Figure S3).</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206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color w:val="002060"/>
          <w:sz w:val="24"/>
          <w:szCs w:val="24"/>
        </w:rPr>
      </w:pPr>
      <w:r>
        <w:rPr>
          <w:noProof/>
          <w:color w:val="002060"/>
          <w:sz w:val="24"/>
          <w:szCs w:val="24"/>
        </w:rPr>
        <w:lastRenderedPageBreak/>
        <w:drawing>
          <wp:inline distT="0" distB="0" distL="0" distR="0">
            <wp:extent cx="2390612" cy="132307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5638" cy="1331387"/>
                    </a:xfrm>
                    <a:prstGeom prst="rect">
                      <a:avLst/>
                    </a:prstGeom>
                    <a:noFill/>
                  </pic:spPr>
                </pic:pic>
              </a:graphicData>
            </a:graphic>
          </wp:inline>
        </w:drawing>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Pr>
          <w:sz w:val="24"/>
          <w:szCs w:val="24"/>
        </w:rPr>
        <w:t>Figure S3. The distribution of Euclidean Distance values for training and test sets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FF0000"/>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color w:val="000000" w:themeColor="text1"/>
          <w:sz w:val="24"/>
          <w:szCs w:val="24"/>
        </w:rPr>
      </w:pPr>
      <w:r>
        <w:rPr>
          <w:color w:val="000000" w:themeColor="text1"/>
          <w:sz w:val="24"/>
          <w:szCs w:val="24"/>
        </w:rPr>
        <w:t>Furthermore, the median values for the most important 2D properties of molecules were calculated. In our case, the median value for training and test denote that the two sets of molecules are rather similar in character (Table S1).</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color w:val="000000" w:themeColor="text1"/>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color w:val="000000" w:themeColor="text1"/>
          <w:sz w:val="24"/>
          <w:szCs w:val="24"/>
        </w:rPr>
      </w:pPr>
      <w:r>
        <w:rPr>
          <w:color w:val="000000" w:themeColor="text1"/>
          <w:sz w:val="24"/>
          <w:szCs w:val="24"/>
        </w:rPr>
        <w:t xml:space="preserve">Table S1. Characteristics (minim, maxim and median values) of the training and test set molecules </w:t>
      </w:r>
    </w:p>
    <w:tbl>
      <w:tblPr>
        <w:tblW w:w="45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449"/>
        <w:gridCol w:w="1114"/>
        <w:gridCol w:w="986"/>
        <w:gridCol w:w="769"/>
        <w:gridCol w:w="636"/>
        <w:gridCol w:w="910"/>
        <w:gridCol w:w="957"/>
      </w:tblGrid>
      <w:tr>
        <w:trPr>
          <w:trHeight w:val="300"/>
        </w:trPr>
        <w:tc>
          <w:tcPr>
            <w:tcW w:w="718" w:type="pct"/>
          </w:tcPr>
          <w:p>
            <w:pPr>
              <w:spacing w:line="240" w:lineRule="auto"/>
              <w:rPr>
                <w:color w:val="000000" w:themeColor="text1"/>
                <w:sz w:val="24"/>
                <w:szCs w:val="24"/>
              </w:rPr>
            </w:pPr>
          </w:p>
        </w:tc>
        <w:tc>
          <w:tcPr>
            <w:tcW w:w="922" w:type="pct"/>
            <w:shd w:val="clear" w:color="auto" w:fill="auto"/>
            <w:noWrap/>
            <w:vAlign w:val="bottom"/>
            <w:hideMark/>
          </w:tcPr>
          <w:p>
            <w:pPr>
              <w:spacing w:line="240" w:lineRule="auto"/>
              <w:rPr>
                <w:color w:val="000000" w:themeColor="text1"/>
                <w:sz w:val="24"/>
                <w:szCs w:val="24"/>
              </w:rPr>
            </w:pPr>
            <w:r>
              <w:rPr>
                <w:color w:val="000000" w:themeColor="text1"/>
                <w:sz w:val="24"/>
                <w:szCs w:val="24"/>
              </w:rPr>
              <w:t>Name</w:t>
            </w:r>
          </w:p>
        </w:tc>
        <w:tc>
          <w:tcPr>
            <w:tcW w:w="718" w:type="pct"/>
            <w:shd w:val="clear" w:color="auto" w:fill="auto"/>
            <w:noWrap/>
            <w:vAlign w:val="bottom"/>
            <w:hideMark/>
          </w:tcPr>
          <w:p>
            <w:pPr>
              <w:spacing w:line="240" w:lineRule="auto"/>
              <w:rPr>
                <w:color w:val="000000" w:themeColor="text1"/>
                <w:sz w:val="24"/>
                <w:szCs w:val="24"/>
              </w:rPr>
            </w:pPr>
            <w:r>
              <w:rPr>
                <w:color w:val="000000" w:themeColor="text1"/>
                <w:sz w:val="24"/>
                <w:szCs w:val="24"/>
              </w:rPr>
              <w:t>MW</w:t>
            </w:r>
          </w:p>
        </w:tc>
        <w:tc>
          <w:tcPr>
            <w:tcW w:w="639" w:type="pct"/>
            <w:shd w:val="clear" w:color="auto" w:fill="auto"/>
            <w:noWrap/>
            <w:vAlign w:val="bottom"/>
            <w:hideMark/>
          </w:tcPr>
          <w:p>
            <w:pPr>
              <w:spacing w:line="240" w:lineRule="auto"/>
              <w:rPr>
                <w:color w:val="000000" w:themeColor="text1"/>
                <w:sz w:val="24"/>
                <w:szCs w:val="24"/>
              </w:rPr>
            </w:pPr>
            <w:r>
              <w:rPr>
                <w:color w:val="000000" w:themeColor="text1"/>
                <w:sz w:val="24"/>
                <w:szCs w:val="24"/>
              </w:rPr>
              <w:t>NRS</w:t>
            </w:r>
          </w:p>
        </w:tc>
        <w:tc>
          <w:tcPr>
            <w:tcW w:w="507" w:type="pct"/>
            <w:shd w:val="clear" w:color="auto" w:fill="auto"/>
            <w:noWrap/>
            <w:vAlign w:val="bottom"/>
            <w:hideMark/>
          </w:tcPr>
          <w:p>
            <w:pPr>
              <w:spacing w:line="240" w:lineRule="auto"/>
              <w:rPr>
                <w:color w:val="000000" w:themeColor="text1"/>
                <w:sz w:val="24"/>
                <w:szCs w:val="24"/>
              </w:rPr>
            </w:pPr>
            <w:r>
              <w:rPr>
                <w:color w:val="000000" w:themeColor="text1"/>
                <w:sz w:val="24"/>
                <w:szCs w:val="24"/>
              </w:rPr>
              <w:t>RBN</w:t>
            </w:r>
          </w:p>
        </w:tc>
        <w:tc>
          <w:tcPr>
            <w:tcW w:w="426" w:type="pct"/>
            <w:shd w:val="clear" w:color="auto" w:fill="auto"/>
            <w:noWrap/>
            <w:vAlign w:val="bottom"/>
            <w:hideMark/>
          </w:tcPr>
          <w:p>
            <w:pPr>
              <w:spacing w:line="240" w:lineRule="auto"/>
              <w:rPr>
                <w:color w:val="000000" w:themeColor="text1"/>
                <w:sz w:val="24"/>
                <w:szCs w:val="24"/>
              </w:rPr>
            </w:pPr>
            <w:r>
              <w:rPr>
                <w:color w:val="000000" w:themeColor="text1"/>
                <w:sz w:val="24"/>
                <w:szCs w:val="24"/>
              </w:rPr>
              <w:t>RB</w:t>
            </w:r>
          </w:p>
        </w:tc>
        <w:tc>
          <w:tcPr>
            <w:tcW w:w="498" w:type="pct"/>
            <w:shd w:val="clear" w:color="auto" w:fill="auto"/>
            <w:noWrap/>
            <w:vAlign w:val="bottom"/>
            <w:hideMark/>
          </w:tcPr>
          <w:p>
            <w:pPr>
              <w:spacing w:line="240" w:lineRule="auto"/>
              <w:rPr>
                <w:color w:val="000000" w:themeColor="text1"/>
                <w:sz w:val="24"/>
                <w:szCs w:val="24"/>
              </w:rPr>
            </w:pPr>
            <w:proofErr w:type="spellStart"/>
            <w:r>
              <w:rPr>
                <w:color w:val="000000" w:themeColor="text1"/>
                <w:sz w:val="24"/>
                <w:szCs w:val="24"/>
              </w:rPr>
              <w:t>XLogP</w:t>
            </w:r>
            <w:proofErr w:type="spellEnd"/>
          </w:p>
        </w:tc>
        <w:tc>
          <w:tcPr>
            <w:tcW w:w="572" w:type="pct"/>
            <w:shd w:val="clear" w:color="auto" w:fill="auto"/>
            <w:noWrap/>
            <w:vAlign w:val="bottom"/>
            <w:hideMark/>
          </w:tcPr>
          <w:p>
            <w:pPr>
              <w:spacing w:line="240" w:lineRule="auto"/>
              <w:rPr>
                <w:color w:val="000000" w:themeColor="text1"/>
                <w:sz w:val="24"/>
                <w:szCs w:val="24"/>
              </w:rPr>
            </w:pPr>
            <w:r>
              <w:rPr>
                <w:color w:val="000000" w:themeColor="text1"/>
                <w:sz w:val="24"/>
                <w:szCs w:val="24"/>
              </w:rPr>
              <w:t>2d PSA</w:t>
            </w:r>
          </w:p>
        </w:tc>
      </w:tr>
      <w:tr>
        <w:trPr>
          <w:trHeight w:val="300"/>
        </w:trPr>
        <w:tc>
          <w:tcPr>
            <w:tcW w:w="718" w:type="pct"/>
            <w:vMerge w:val="restart"/>
          </w:tcPr>
          <w:p>
            <w:pPr>
              <w:spacing w:line="240" w:lineRule="auto"/>
              <w:rPr>
                <w:color w:val="000000" w:themeColor="text1"/>
                <w:sz w:val="24"/>
                <w:szCs w:val="24"/>
              </w:rPr>
            </w:pPr>
            <w:r>
              <w:rPr>
                <w:color w:val="000000" w:themeColor="text1"/>
                <w:sz w:val="24"/>
                <w:szCs w:val="24"/>
              </w:rPr>
              <w:t>TRAINING</w:t>
            </w:r>
          </w:p>
          <w:p>
            <w:pPr>
              <w:spacing w:line="240" w:lineRule="auto"/>
              <w:rPr>
                <w:color w:val="000000" w:themeColor="text1"/>
                <w:sz w:val="24"/>
                <w:szCs w:val="24"/>
              </w:rPr>
            </w:pPr>
            <w:r>
              <w:rPr>
                <w:color w:val="000000" w:themeColor="text1"/>
                <w:sz w:val="24"/>
                <w:szCs w:val="24"/>
              </w:rPr>
              <w:t>SET</w:t>
            </w:r>
          </w:p>
        </w:tc>
        <w:tc>
          <w:tcPr>
            <w:tcW w:w="922" w:type="pct"/>
            <w:shd w:val="clear" w:color="auto" w:fill="auto"/>
            <w:noWrap/>
            <w:vAlign w:val="bottom"/>
            <w:hideMark/>
          </w:tcPr>
          <w:p>
            <w:pPr>
              <w:spacing w:line="240" w:lineRule="auto"/>
              <w:rPr>
                <w:color w:val="000000" w:themeColor="text1"/>
                <w:sz w:val="24"/>
                <w:szCs w:val="24"/>
              </w:rPr>
            </w:pPr>
            <w:r>
              <w:rPr>
                <w:color w:val="000000" w:themeColor="text1"/>
                <w:sz w:val="24"/>
                <w:szCs w:val="24"/>
              </w:rPr>
              <w:t>MIN</w:t>
            </w:r>
          </w:p>
        </w:tc>
        <w:tc>
          <w:tcPr>
            <w:tcW w:w="718" w:type="pct"/>
            <w:shd w:val="clear" w:color="auto" w:fill="auto"/>
            <w:noWrap/>
            <w:vAlign w:val="bottom"/>
            <w:hideMark/>
          </w:tcPr>
          <w:p>
            <w:pPr>
              <w:spacing w:line="240" w:lineRule="auto"/>
              <w:jc w:val="right"/>
              <w:rPr>
                <w:color w:val="000000" w:themeColor="text1"/>
                <w:sz w:val="24"/>
                <w:szCs w:val="24"/>
              </w:rPr>
            </w:pPr>
            <w:r>
              <w:rPr>
                <w:color w:val="000000" w:themeColor="text1"/>
                <w:sz w:val="24"/>
                <w:szCs w:val="24"/>
              </w:rPr>
              <w:t>370.86</w:t>
            </w:r>
          </w:p>
        </w:tc>
        <w:tc>
          <w:tcPr>
            <w:tcW w:w="639" w:type="pct"/>
            <w:shd w:val="clear" w:color="auto" w:fill="auto"/>
            <w:noWrap/>
            <w:vAlign w:val="bottom"/>
            <w:hideMark/>
          </w:tcPr>
          <w:p>
            <w:pPr>
              <w:spacing w:line="240" w:lineRule="auto"/>
              <w:jc w:val="right"/>
              <w:rPr>
                <w:color w:val="000000" w:themeColor="text1"/>
                <w:sz w:val="24"/>
                <w:szCs w:val="24"/>
              </w:rPr>
            </w:pPr>
            <w:r>
              <w:rPr>
                <w:color w:val="000000" w:themeColor="text1"/>
                <w:sz w:val="24"/>
                <w:szCs w:val="24"/>
              </w:rPr>
              <w:t>3</w:t>
            </w:r>
          </w:p>
        </w:tc>
        <w:tc>
          <w:tcPr>
            <w:tcW w:w="507" w:type="pct"/>
            <w:shd w:val="clear" w:color="auto" w:fill="auto"/>
            <w:noWrap/>
            <w:vAlign w:val="bottom"/>
            <w:hideMark/>
          </w:tcPr>
          <w:p>
            <w:pPr>
              <w:spacing w:line="240" w:lineRule="auto"/>
              <w:jc w:val="right"/>
              <w:rPr>
                <w:color w:val="000000" w:themeColor="text1"/>
                <w:sz w:val="24"/>
                <w:szCs w:val="24"/>
              </w:rPr>
            </w:pPr>
            <w:r>
              <w:rPr>
                <w:color w:val="000000" w:themeColor="text1"/>
                <w:sz w:val="24"/>
                <w:szCs w:val="24"/>
              </w:rPr>
              <w:t>3</w:t>
            </w:r>
          </w:p>
        </w:tc>
        <w:tc>
          <w:tcPr>
            <w:tcW w:w="426" w:type="pct"/>
            <w:shd w:val="clear" w:color="auto" w:fill="auto"/>
            <w:noWrap/>
            <w:vAlign w:val="bottom"/>
            <w:hideMark/>
          </w:tcPr>
          <w:p>
            <w:pPr>
              <w:spacing w:line="240" w:lineRule="auto"/>
              <w:jc w:val="right"/>
              <w:rPr>
                <w:color w:val="000000" w:themeColor="text1"/>
                <w:sz w:val="24"/>
                <w:szCs w:val="24"/>
              </w:rPr>
            </w:pPr>
            <w:r>
              <w:rPr>
                <w:color w:val="000000" w:themeColor="text1"/>
                <w:sz w:val="24"/>
                <w:szCs w:val="24"/>
              </w:rPr>
              <w:t>26</w:t>
            </w:r>
          </w:p>
        </w:tc>
        <w:tc>
          <w:tcPr>
            <w:tcW w:w="498" w:type="pct"/>
            <w:shd w:val="clear" w:color="auto" w:fill="auto"/>
            <w:noWrap/>
            <w:vAlign w:val="bottom"/>
            <w:hideMark/>
          </w:tcPr>
          <w:p>
            <w:pPr>
              <w:spacing w:line="240" w:lineRule="auto"/>
              <w:jc w:val="right"/>
              <w:rPr>
                <w:color w:val="000000" w:themeColor="text1"/>
                <w:sz w:val="24"/>
                <w:szCs w:val="24"/>
              </w:rPr>
            </w:pPr>
            <w:r>
              <w:rPr>
                <w:color w:val="000000" w:themeColor="text1"/>
                <w:sz w:val="24"/>
                <w:szCs w:val="24"/>
              </w:rPr>
              <w:t>1.41</w:t>
            </w:r>
          </w:p>
        </w:tc>
        <w:tc>
          <w:tcPr>
            <w:tcW w:w="572" w:type="pct"/>
            <w:shd w:val="clear" w:color="auto" w:fill="auto"/>
            <w:noWrap/>
            <w:vAlign w:val="bottom"/>
            <w:hideMark/>
          </w:tcPr>
          <w:p>
            <w:pPr>
              <w:spacing w:line="240" w:lineRule="auto"/>
              <w:jc w:val="right"/>
              <w:rPr>
                <w:color w:val="000000" w:themeColor="text1"/>
                <w:sz w:val="24"/>
                <w:szCs w:val="24"/>
              </w:rPr>
            </w:pPr>
            <w:r>
              <w:rPr>
                <w:color w:val="000000" w:themeColor="text1"/>
                <w:sz w:val="24"/>
                <w:szCs w:val="24"/>
              </w:rPr>
              <w:t>68.32</w:t>
            </w:r>
          </w:p>
        </w:tc>
      </w:tr>
      <w:tr>
        <w:trPr>
          <w:trHeight w:val="300"/>
        </w:trPr>
        <w:tc>
          <w:tcPr>
            <w:tcW w:w="718" w:type="pct"/>
            <w:vMerge/>
          </w:tcPr>
          <w:p>
            <w:pPr>
              <w:spacing w:line="240" w:lineRule="auto"/>
              <w:rPr>
                <w:color w:val="000000" w:themeColor="text1"/>
                <w:sz w:val="24"/>
                <w:szCs w:val="24"/>
              </w:rPr>
            </w:pPr>
          </w:p>
        </w:tc>
        <w:tc>
          <w:tcPr>
            <w:tcW w:w="922" w:type="pct"/>
            <w:shd w:val="clear" w:color="auto" w:fill="auto"/>
            <w:noWrap/>
            <w:vAlign w:val="bottom"/>
            <w:hideMark/>
          </w:tcPr>
          <w:p>
            <w:pPr>
              <w:spacing w:line="240" w:lineRule="auto"/>
              <w:rPr>
                <w:color w:val="000000" w:themeColor="text1"/>
                <w:sz w:val="24"/>
                <w:szCs w:val="24"/>
              </w:rPr>
            </w:pPr>
            <w:r>
              <w:rPr>
                <w:color w:val="000000" w:themeColor="text1"/>
                <w:sz w:val="24"/>
                <w:szCs w:val="24"/>
              </w:rPr>
              <w:t>MAX</w:t>
            </w:r>
          </w:p>
        </w:tc>
        <w:tc>
          <w:tcPr>
            <w:tcW w:w="718" w:type="pct"/>
            <w:shd w:val="clear" w:color="auto" w:fill="auto"/>
            <w:noWrap/>
            <w:vAlign w:val="bottom"/>
            <w:hideMark/>
          </w:tcPr>
          <w:p>
            <w:pPr>
              <w:spacing w:line="240" w:lineRule="auto"/>
              <w:jc w:val="right"/>
              <w:rPr>
                <w:color w:val="000000" w:themeColor="text1"/>
                <w:sz w:val="24"/>
                <w:szCs w:val="24"/>
              </w:rPr>
            </w:pPr>
            <w:r>
              <w:rPr>
                <w:color w:val="000000" w:themeColor="text1"/>
                <w:sz w:val="24"/>
                <w:szCs w:val="24"/>
              </w:rPr>
              <w:t>482.02</w:t>
            </w:r>
          </w:p>
        </w:tc>
        <w:tc>
          <w:tcPr>
            <w:tcW w:w="639" w:type="pct"/>
            <w:shd w:val="clear" w:color="auto" w:fill="auto"/>
            <w:noWrap/>
            <w:vAlign w:val="bottom"/>
            <w:hideMark/>
          </w:tcPr>
          <w:p>
            <w:pPr>
              <w:spacing w:line="240" w:lineRule="auto"/>
              <w:jc w:val="right"/>
              <w:rPr>
                <w:color w:val="000000" w:themeColor="text1"/>
                <w:sz w:val="24"/>
                <w:szCs w:val="24"/>
              </w:rPr>
            </w:pPr>
            <w:r>
              <w:rPr>
                <w:color w:val="000000" w:themeColor="text1"/>
                <w:sz w:val="24"/>
                <w:szCs w:val="24"/>
              </w:rPr>
              <w:t>4</w:t>
            </w:r>
          </w:p>
        </w:tc>
        <w:tc>
          <w:tcPr>
            <w:tcW w:w="507" w:type="pct"/>
            <w:shd w:val="clear" w:color="auto" w:fill="auto"/>
            <w:noWrap/>
            <w:vAlign w:val="bottom"/>
            <w:hideMark/>
          </w:tcPr>
          <w:p>
            <w:pPr>
              <w:spacing w:line="240" w:lineRule="auto"/>
              <w:jc w:val="right"/>
              <w:rPr>
                <w:color w:val="000000" w:themeColor="text1"/>
                <w:sz w:val="24"/>
                <w:szCs w:val="24"/>
              </w:rPr>
            </w:pPr>
            <w:r>
              <w:rPr>
                <w:color w:val="000000" w:themeColor="text1"/>
                <w:sz w:val="24"/>
                <w:szCs w:val="24"/>
              </w:rPr>
              <w:t>6</w:t>
            </w:r>
          </w:p>
        </w:tc>
        <w:tc>
          <w:tcPr>
            <w:tcW w:w="426" w:type="pct"/>
            <w:shd w:val="clear" w:color="auto" w:fill="auto"/>
            <w:noWrap/>
            <w:vAlign w:val="bottom"/>
            <w:hideMark/>
          </w:tcPr>
          <w:p>
            <w:pPr>
              <w:spacing w:line="240" w:lineRule="auto"/>
              <w:jc w:val="right"/>
              <w:rPr>
                <w:color w:val="000000" w:themeColor="text1"/>
                <w:sz w:val="24"/>
                <w:szCs w:val="24"/>
              </w:rPr>
            </w:pPr>
            <w:r>
              <w:rPr>
                <w:color w:val="000000" w:themeColor="text1"/>
                <w:sz w:val="24"/>
                <w:szCs w:val="24"/>
              </w:rPr>
              <w:t>34</w:t>
            </w:r>
          </w:p>
        </w:tc>
        <w:tc>
          <w:tcPr>
            <w:tcW w:w="498" w:type="pct"/>
            <w:shd w:val="clear" w:color="auto" w:fill="auto"/>
            <w:noWrap/>
            <w:vAlign w:val="bottom"/>
            <w:hideMark/>
          </w:tcPr>
          <w:p>
            <w:pPr>
              <w:spacing w:line="240" w:lineRule="auto"/>
              <w:jc w:val="right"/>
              <w:rPr>
                <w:color w:val="000000" w:themeColor="text1"/>
                <w:sz w:val="24"/>
                <w:szCs w:val="24"/>
              </w:rPr>
            </w:pPr>
            <w:r>
              <w:rPr>
                <w:color w:val="000000" w:themeColor="text1"/>
                <w:sz w:val="24"/>
                <w:szCs w:val="24"/>
              </w:rPr>
              <w:t>4.12</w:t>
            </w:r>
          </w:p>
        </w:tc>
        <w:tc>
          <w:tcPr>
            <w:tcW w:w="572" w:type="pct"/>
            <w:shd w:val="clear" w:color="auto" w:fill="auto"/>
            <w:noWrap/>
            <w:vAlign w:val="bottom"/>
            <w:hideMark/>
          </w:tcPr>
          <w:p>
            <w:pPr>
              <w:spacing w:line="240" w:lineRule="auto"/>
              <w:jc w:val="right"/>
              <w:rPr>
                <w:color w:val="000000" w:themeColor="text1"/>
                <w:sz w:val="24"/>
                <w:szCs w:val="24"/>
              </w:rPr>
            </w:pPr>
            <w:r>
              <w:rPr>
                <w:color w:val="000000" w:themeColor="text1"/>
                <w:sz w:val="24"/>
                <w:szCs w:val="24"/>
              </w:rPr>
              <w:t>90.08</w:t>
            </w:r>
          </w:p>
        </w:tc>
      </w:tr>
      <w:tr>
        <w:trPr>
          <w:trHeight w:val="300"/>
        </w:trPr>
        <w:tc>
          <w:tcPr>
            <w:tcW w:w="718" w:type="pct"/>
            <w:vMerge/>
          </w:tcPr>
          <w:p>
            <w:pPr>
              <w:spacing w:line="240" w:lineRule="auto"/>
              <w:rPr>
                <w:color w:val="000000" w:themeColor="text1"/>
                <w:sz w:val="24"/>
                <w:szCs w:val="24"/>
              </w:rPr>
            </w:pPr>
          </w:p>
        </w:tc>
        <w:tc>
          <w:tcPr>
            <w:tcW w:w="922" w:type="pct"/>
            <w:shd w:val="clear" w:color="auto" w:fill="auto"/>
            <w:noWrap/>
            <w:vAlign w:val="bottom"/>
            <w:hideMark/>
          </w:tcPr>
          <w:p>
            <w:pPr>
              <w:spacing w:line="240" w:lineRule="auto"/>
              <w:rPr>
                <w:b/>
                <w:color w:val="000000" w:themeColor="text1"/>
                <w:sz w:val="24"/>
                <w:szCs w:val="24"/>
              </w:rPr>
            </w:pPr>
            <w:r>
              <w:rPr>
                <w:b/>
                <w:color w:val="000000" w:themeColor="text1"/>
                <w:sz w:val="24"/>
                <w:szCs w:val="24"/>
              </w:rPr>
              <w:t>MEDIAN</w:t>
            </w:r>
          </w:p>
        </w:tc>
        <w:tc>
          <w:tcPr>
            <w:tcW w:w="718" w:type="pct"/>
            <w:shd w:val="clear" w:color="auto" w:fill="auto"/>
            <w:noWrap/>
            <w:vAlign w:val="bottom"/>
            <w:hideMark/>
          </w:tcPr>
          <w:p>
            <w:pPr>
              <w:spacing w:line="240" w:lineRule="auto"/>
              <w:jc w:val="right"/>
              <w:rPr>
                <w:b/>
                <w:color w:val="000000" w:themeColor="text1"/>
                <w:sz w:val="24"/>
                <w:szCs w:val="24"/>
              </w:rPr>
            </w:pPr>
            <w:r>
              <w:rPr>
                <w:b/>
                <w:color w:val="000000" w:themeColor="text1"/>
                <w:sz w:val="24"/>
                <w:szCs w:val="24"/>
              </w:rPr>
              <w:t>452.405</w:t>
            </w:r>
          </w:p>
        </w:tc>
        <w:tc>
          <w:tcPr>
            <w:tcW w:w="639" w:type="pct"/>
            <w:shd w:val="clear" w:color="auto" w:fill="auto"/>
            <w:noWrap/>
            <w:vAlign w:val="bottom"/>
            <w:hideMark/>
          </w:tcPr>
          <w:p>
            <w:pPr>
              <w:spacing w:line="240" w:lineRule="auto"/>
              <w:jc w:val="right"/>
              <w:rPr>
                <w:b/>
                <w:color w:val="000000" w:themeColor="text1"/>
                <w:sz w:val="24"/>
                <w:szCs w:val="24"/>
              </w:rPr>
            </w:pPr>
            <w:r>
              <w:rPr>
                <w:b/>
                <w:color w:val="000000" w:themeColor="text1"/>
                <w:sz w:val="24"/>
                <w:szCs w:val="24"/>
              </w:rPr>
              <w:t>4</w:t>
            </w:r>
          </w:p>
        </w:tc>
        <w:tc>
          <w:tcPr>
            <w:tcW w:w="507" w:type="pct"/>
            <w:shd w:val="clear" w:color="auto" w:fill="auto"/>
            <w:noWrap/>
            <w:vAlign w:val="bottom"/>
            <w:hideMark/>
          </w:tcPr>
          <w:p>
            <w:pPr>
              <w:spacing w:line="240" w:lineRule="auto"/>
              <w:jc w:val="right"/>
              <w:rPr>
                <w:b/>
                <w:color w:val="000000" w:themeColor="text1"/>
                <w:sz w:val="24"/>
                <w:szCs w:val="24"/>
              </w:rPr>
            </w:pPr>
            <w:r>
              <w:rPr>
                <w:b/>
                <w:color w:val="000000" w:themeColor="text1"/>
                <w:sz w:val="24"/>
                <w:szCs w:val="24"/>
              </w:rPr>
              <w:t>5</w:t>
            </w:r>
          </w:p>
        </w:tc>
        <w:tc>
          <w:tcPr>
            <w:tcW w:w="426" w:type="pct"/>
            <w:shd w:val="clear" w:color="auto" w:fill="auto"/>
            <w:noWrap/>
            <w:vAlign w:val="bottom"/>
            <w:hideMark/>
          </w:tcPr>
          <w:p>
            <w:pPr>
              <w:spacing w:line="240" w:lineRule="auto"/>
              <w:jc w:val="right"/>
              <w:rPr>
                <w:b/>
                <w:color w:val="000000" w:themeColor="text1"/>
                <w:sz w:val="24"/>
                <w:szCs w:val="24"/>
              </w:rPr>
            </w:pPr>
            <w:r>
              <w:rPr>
                <w:b/>
                <w:color w:val="000000" w:themeColor="text1"/>
                <w:sz w:val="24"/>
                <w:szCs w:val="24"/>
              </w:rPr>
              <w:t>31</w:t>
            </w:r>
          </w:p>
        </w:tc>
        <w:tc>
          <w:tcPr>
            <w:tcW w:w="498" w:type="pct"/>
            <w:shd w:val="clear" w:color="auto" w:fill="auto"/>
            <w:noWrap/>
            <w:vAlign w:val="bottom"/>
            <w:hideMark/>
          </w:tcPr>
          <w:p>
            <w:pPr>
              <w:spacing w:line="240" w:lineRule="auto"/>
              <w:jc w:val="right"/>
              <w:rPr>
                <w:b/>
                <w:color w:val="000000" w:themeColor="text1"/>
                <w:sz w:val="24"/>
                <w:szCs w:val="24"/>
              </w:rPr>
            </w:pPr>
            <w:r>
              <w:rPr>
                <w:b/>
                <w:color w:val="000000" w:themeColor="text1"/>
                <w:sz w:val="24"/>
                <w:szCs w:val="24"/>
              </w:rPr>
              <w:t>2.865</w:t>
            </w:r>
          </w:p>
        </w:tc>
        <w:tc>
          <w:tcPr>
            <w:tcW w:w="572" w:type="pct"/>
            <w:shd w:val="clear" w:color="auto" w:fill="auto"/>
            <w:noWrap/>
            <w:vAlign w:val="bottom"/>
            <w:hideMark/>
          </w:tcPr>
          <w:p>
            <w:pPr>
              <w:spacing w:line="240" w:lineRule="auto"/>
              <w:jc w:val="right"/>
              <w:rPr>
                <w:b/>
                <w:color w:val="000000" w:themeColor="text1"/>
                <w:sz w:val="24"/>
                <w:szCs w:val="24"/>
              </w:rPr>
            </w:pPr>
            <w:r>
              <w:rPr>
                <w:b/>
                <w:color w:val="000000" w:themeColor="text1"/>
                <w:sz w:val="24"/>
                <w:szCs w:val="24"/>
              </w:rPr>
              <w:t>77.19</w:t>
            </w:r>
          </w:p>
        </w:tc>
      </w:tr>
      <w:tr>
        <w:trPr>
          <w:trHeight w:val="300"/>
        </w:trPr>
        <w:tc>
          <w:tcPr>
            <w:tcW w:w="718" w:type="pct"/>
            <w:vMerge w:val="restart"/>
          </w:tcPr>
          <w:p>
            <w:pPr>
              <w:spacing w:line="240" w:lineRule="auto"/>
              <w:rPr>
                <w:color w:val="000000" w:themeColor="text1"/>
                <w:sz w:val="24"/>
                <w:szCs w:val="24"/>
              </w:rPr>
            </w:pPr>
            <w:r>
              <w:rPr>
                <w:color w:val="000000" w:themeColor="text1"/>
                <w:sz w:val="24"/>
                <w:szCs w:val="24"/>
              </w:rPr>
              <w:t>TEST SET</w:t>
            </w:r>
          </w:p>
        </w:tc>
        <w:tc>
          <w:tcPr>
            <w:tcW w:w="922" w:type="pct"/>
            <w:shd w:val="clear" w:color="auto" w:fill="auto"/>
            <w:noWrap/>
            <w:vAlign w:val="bottom"/>
            <w:hideMark/>
          </w:tcPr>
          <w:p>
            <w:pPr>
              <w:spacing w:line="240" w:lineRule="auto"/>
              <w:rPr>
                <w:color w:val="000000" w:themeColor="text1"/>
                <w:sz w:val="24"/>
                <w:szCs w:val="24"/>
              </w:rPr>
            </w:pPr>
            <w:r>
              <w:rPr>
                <w:color w:val="000000" w:themeColor="text1"/>
                <w:sz w:val="24"/>
                <w:szCs w:val="24"/>
              </w:rPr>
              <w:t>MIN</w:t>
            </w:r>
          </w:p>
        </w:tc>
        <w:tc>
          <w:tcPr>
            <w:tcW w:w="718" w:type="pct"/>
            <w:shd w:val="clear" w:color="auto" w:fill="auto"/>
            <w:noWrap/>
            <w:vAlign w:val="bottom"/>
            <w:hideMark/>
          </w:tcPr>
          <w:p>
            <w:pPr>
              <w:spacing w:line="240" w:lineRule="auto"/>
              <w:jc w:val="right"/>
              <w:rPr>
                <w:color w:val="000000" w:themeColor="text1"/>
                <w:sz w:val="24"/>
                <w:szCs w:val="24"/>
              </w:rPr>
            </w:pPr>
            <w:r>
              <w:rPr>
                <w:color w:val="000000" w:themeColor="text1"/>
                <w:sz w:val="24"/>
                <w:szCs w:val="24"/>
              </w:rPr>
              <w:t>425.93</w:t>
            </w:r>
          </w:p>
        </w:tc>
        <w:tc>
          <w:tcPr>
            <w:tcW w:w="639" w:type="pct"/>
            <w:shd w:val="clear" w:color="auto" w:fill="auto"/>
            <w:noWrap/>
            <w:vAlign w:val="bottom"/>
            <w:hideMark/>
          </w:tcPr>
          <w:p>
            <w:pPr>
              <w:spacing w:line="240" w:lineRule="auto"/>
              <w:jc w:val="right"/>
              <w:rPr>
                <w:color w:val="000000" w:themeColor="text1"/>
                <w:sz w:val="24"/>
                <w:szCs w:val="24"/>
              </w:rPr>
            </w:pPr>
            <w:r>
              <w:rPr>
                <w:color w:val="000000" w:themeColor="text1"/>
                <w:sz w:val="24"/>
                <w:szCs w:val="24"/>
              </w:rPr>
              <w:t>3</w:t>
            </w:r>
          </w:p>
        </w:tc>
        <w:tc>
          <w:tcPr>
            <w:tcW w:w="507" w:type="pct"/>
            <w:shd w:val="clear" w:color="auto" w:fill="auto"/>
            <w:noWrap/>
            <w:vAlign w:val="bottom"/>
            <w:hideMark/>
          </w:tcPr>
          <w:p>
            <w:pPr>
              <w:spacing w:line="240" w:lineRule="auto"/>
              <w:jc w:val="right"/>
              <w:rPr>
                <w:color w:val="000000" w:themeColor="text1"/>
                <w:sz w:val="24"/>
                <w:szCs w:val="24"/>
              </w:rPr>
            </w:pPr>
            <w:r>
              <w:rPr>
                <w:color w:val="000000" w:themeColor="text1"/>
                <w:sz w:val="24"/>
                <w:szCs w:val="24"/>
              </w:rPr>
              <w:t>4</w:t>
            </w:r>
          </w:p>
        </w:tc>
        <w:tc>
          <w:tcPr>
            <w:tcW w:w="426" w:type="pct"/>
            <w:shd w:val="clear" w:color="auto" w:fill="auto"/>
            <w:noWrap/>
            <w:vAlign w:val="bottom"/>
            <w:hideMark/>
          </w:tcPr>
          <w:p>
            <w:pPr>
              <w:spacing w:line="240" w:lineRule="auto"/>
              <w:jc w:val="right"/>
              <w:rPr>
                <w:color w:val="000000" w:themeColor="text1"/>
                <w:sz w:val="24"/>
                <w:szCs w:val="24"/>
              </w:rPr>
            </w:pPr>
            <w:r>
              <w:rPr>
                <w:color w:val="000000" w:themeColor="text1"/>
                <w:sz w:val="24"/>
                <w:szCs w:val="24"/>
              </w:rPr>
              <w:t>27</w:t>
            </w:r>
          </w:p>
        </w:tc>
        <w:tc>
          <w:tcPr>
            <w:tcW w:w="498" w:type="pct"/>
            <w:shd w:val="clear" w:color="auto" w:fill="auto"/>
            <w:noWrap/>
            <w:vAlign w:val="bottom"/>
            <w:hideMark/>
          </w:tcPr>
          <w:p>
            <w:pPr>
              <w:spacing w:line="240" w:lineRule="auto"/>
              <w:jc w:val="right"/>
              <w:rPr>
                <w:color w:val="000000" w:themeColor="text1"/>
                <w:sz w:val="24"/>
                <w:szCs w:val="24"/>
              </w:rPr>
            </w:pPr>
            <w:r>
              <w:rPr>
                <w:color w:val="000000" w:themeColor="text1"/>
                <w:sz w:val="24"/>
                <w:szCs w:val="24"/>
              </w:rPr>
              <w:t>1.24</w:t>
            </w:r>
          </w:p>
        </w:tc>
        <w:tc>
          <w:tcPr>
            <w:tcW w:w="572" w:type="pct"/>
            <w:shd w:val="clear" w:color="auto" w:fill="auto"/>
            <w:noWrap/>
            <w:vAlign w:val="bottom"/>
            <w:hideMark/>
          </w:tcPr>
          <w:p>
            <w:pPr>
              <w:spacing w:line="240" w:lineRule="auto"/>
              <w:jc w:val="right"/>
              <w:rPr>
                <w:color w:val="000000" w:themeColor="text1"/>
                <w:sz w:val="24"/>
                <w:szCs w:val="24"/>
              </w:rPr>
            </w:pPr>
            <w:r>
              <w:rPr>
                <w:color w:val="000000" w:themeColor="text1"/>
                <w:sz w:val="24"/>
                <w:szCs w:val="24"/>
              </w:rPr>
              <w:t>60.51</w:t>
            </w:r>
          </w:p>
        </w:tc>
      </w:tr>
      <w:tr>
        <w:trPr>
          <w:trHeight w:val="300"/>
        </w:trPr>
        <w:tc>
          <w:tcPr>
            <w:tcW w:w="718" w:type="pct"/>
            <w:vMerge/>
          </w:tcPr>
          <w:p>
            <w:pPr>
              <w:spacing w:line="240" w:lineRule="auto"/>
              <w:rPr>
                <w:color w:val="000000" w:themeColor="text1"/>
                <w:sz w:val="24"/>
                <w:szCs w:val="24"/>
              </w:rPr>
            </w:pPr>
          </w:p>
        </w:tc>
        <w:tc>
          <w:tcPr>
            <w:tcW w:w="922" w:type="pct"/>
            <w:shd w:val="clear" w:color="auto" w:fill="auto"/>
            <w:noWrap/>
            <w:vAlign w:val="bottom"/>
            <w:hideMark/>
          </w:tcPr>
          <w:p>
            <w:pPr>
              <w:spacing w:line="240" w:lineRule="auto"/>
              <w:rPr>
                <w:color w:val="000000" w:themeColor="text1"/>
                <w:sz w:val="24"/>
                <w:szCs w:val="24"/>
              </w:rPr>
            </w:pPr>
            <w:r>
              <w:rPr>
                <w:color w:val="000000" w:themeColor="text1"/>
                <w:sz w:val="24"/>
                <w:szCs w:val="24"/>
              </w:rPr>
              <w:t>MAX</w:t>
            </w:r>
          </w:p>
        </w:tc>
        <w:tc>
          <w:tcPr>
            <w:tcW w:w="718" w:type="pct"/>
            <w:shd w:val="clear" w:color="auto" w:fill="auto"/>
            <w:noWrap/>
            <w:vAlign w:val="bottom"/>
            <w:hideMark/>
          </w:tcPr>
          <w:p>
            <w:pPr>
              <w:spacing w:line="240" w:lineRule="auto"/>
              <w:jc w:val="right"/>
              <w:rPr>
                <w:color w:val="000000" w:themeColor="text1"/>
                <w:sz w:val="24"/>
                <w:szCs w:val="24"/>
              </w:rPr>
            </w:pPr>
            <w:r>
              <w:rPr>
                <w:color w:val="000000" w:themeColor="text1"/>
                <w:sz w:val="24"/>
                <w:szCs w:val="24"/>
              </w:rPr>
              <w:t>495.93</w:t>
            </w:r>
          </w:p>
        </w:tc>
        <w:tc>
          <w:tcPr>
            <w:tcW w:w="639" w:type="pct"/>
            <w:shd w:val="clear" w:color="auto" w:fill="auto"/>
            <w:noWrap/>
            <w:vAlign w:val="bottom"/>
            <w:hideMark/>
          </w:tcPr>
          <w:p>
            <w:pPr>
              <w:spacing w:line="240" w:lineRule="auto"/>
              <w:jc w:val="right"/>
              <w:rPr>
                <w:color w:val="000000" w:themeColor="text1"/>
                <w:sz w:val="24"/>
                <w:szCs w:val="24"/>
              </w:rPr>
            </w:pPr>
            <w:r>
              <w:rPr>
                <w:color w:val="000000" w:themeColor="text1"/>
                <w:sz w:val="24"/>
                <w:szCs w:val="24"/>
              </w:rPr>
              <w:t>4</w:t>
            </w:r>
          </w:p>
        </w:tc>
        <w:tc>
          <w:tcPr>
            <w:tcW w:w="507" w:type="pct"/>
            <w:shd w:val="clear" w:color="auto" w:fill="auto"/>
            <w:noWrap/>
            <w:vAlign w:val="bottom"/>
            <w:hideMark/>
          </w:tcPr>
          <w:p>
            <w:pPr>
              <w:spacing w:line="240" w:lineRule="auto"/>
              <w:jc w:val="right"/>
              <w:rPr>
                <w:color w:val="000000" w:themeColor="text1"/>
                <w:sz w:val="24"/>
                <w:szCs w:val="24"/>
              </w:rPr>
            </w:pPr>
            <w:r>
              <w:rPr>
                <w:color w:val="000000" w:themeColor="text1"/>
                <w:sz w:val="24"/>
                <w:szCs w:val="24"/>
              </w:rPr>
              <w:t>6</w:t>
            </w:r>
          </w:p>
        </w:tc>
        <w:tc>
          <w:tcPr>
            <w:tcW w:w="426" w:type="pct"/>
            <w:shd w:val="clear" w:color="auto" w:fill="auto"/>
            <w:noWrap/>
            <w:vAlign w:val="bottom"/>
            <w:hideMark/>
          </w:tcPr>
          <w:p>
            <w:pPr>
              <w:spacing w:line="240" w:lineRule="auto"/>
              <w:jc w:val="right"/>
              <w:rPr>
                <w:color w:val="000000" w:themeColor="text1"/>
                <w:sz w:val="24"/>
                <w:szCs w:val="24"/>
              </w:rPr>
            </w:pPr>
            <w:r>
              <w:rPr>
                <w:color w:val="000000" w:themeColor="text1"/>
                <w:sz w:val="24"/>
                <w:szCs w:val="24"/>
              </w:rPr>
              <w:t>34</w:t>
            </w:r>
          </w:p>
        </w:tc>
        <w:tc>
          <w:tcPr>
            <w:tcW w:w="498" w:type="pct"/>
            <w:shd w:val="clear" w:color="auto" w:fill="auto"/>
            <w:noWrap/>
            <w:vAlign w:val="bottom"/>
            <w:hideMark/>
          </w:tcPr>
          <w:p>
            <w:pPr>
              <w:spacing w:line="240" w:lineRule="auto"/>
              <w:jc w:val="right"/>
              <w:rPr>
                <w:color w:val="000000" w:themeColor="text1"/>
                <w:sz w:val="24"/>
                <w:szCs w:val="24"/>
              </w:rPr>
            </w:pPr>
            <w:r>
              <w:rPr>
                <w:color w:val="000000" w:themeColor="text1"/>
                <w:sz w:val="24"/>
                <w:szCs w:val="24"/>
              </w:rPr>
              <w:t>3.93</w:t>
            </w:r>
          </w:p>
        </w:tc>
        <w:tc>
          <w:tcPr>
            <w:tcW w:w="572" w:type="pct"/>
            <w:shd w:val="clear" w:color="auto" w:fill="auto"/>
            <w:noWrap/>
            <w:vAlign w:val="bottom"/>
            <w:hideMark/>
          </w:tcPr>
          <w:p>
            <w:pPr>
              <w:spacing w:line="240" w:lineRule="auto"/>
              <w:jc w:val="right"/>
              <w:rPr>
                <w:color w:val="000000" w:themeColor="text1"/>
                <w:sz w:val="24"/>
                <w:szCs w:val="24"/>
              </w:rPr>
            </w:pPr>
            <w:r>
              <w:rPr>
                <w:color w:val="000000" w:themeColor="text1"/>
                <w:sz w:val="24"/>
                <w:szCs w:val="24"/>
              </w:rPr>
              <w:t>90.08</w:t>
            </w:r>
          </w:p>
        </w:tc>
      </w:tr>
      <w:tr>
        <w:trPr>
          <w:trHeight w:val="300"/>
        </w:trPr>
        <w:tc>
          <w:tcPr>
            <w:tcW w:w="718" w:type="pct"/>
            <w:vMerge/>
          </w:tcPr>
          <w:p>
            <w:pPr>
              <w:spacing w:line="240" w:lineRule="auto"/>
              <w:rPr>
                <w:color w:val="000000" w:themeColor="text1"/>
                <w:sz w:val="24"/>
                <w:szCs w:val="24"/>
              </w:rPr>
            </w:pPr>
          </w:p>
        </w:tc>
        <w:tc>
          <w:tcPr>
            <w:tcW w:w="922" w:type="pct"/>
            <w:shd w:val="clear" w:color="auto" w:fill="auto"/>
            <w:noWrap/>
            <w:vAlign w:val="bottom"/>
            <w:hideMark/>
          </w:tcPr>
          <w:p>
            <w:pPr>
              <w:spacing w:line="240" w:lineRule="auto"/>
              <w:rPr>
                <w:b/>
                <w:color w:val="000000" w:themeColor="text1"/>
                <w:sz w:val="24"/>
                <w:szCs w:val="24"/>
              </w:rPr>
            </w:pPr>
            <w:r>
              <w:rPr>
                <w:b/>
                <w:color w:val="000000" w:themeColor="text1"/>
                <w:sz w:val="24"/>
                <w:szCs w:val="24"/>
              </w:rPr>
              <w:t>MEDIAN</w:t>
            </w:r>
          </w:p>
        </w:tc>
        <w:tc>
          <w:tcPr>
            <w:tcW w:w="718" w:type="pct"/>
            <w:shd w:val="clear" w:color="auto" w:fill="auto"/>
            <w:noWrap/>
            <w:vAlign w:val="bottom"/>
            <w:hideMark/>
          </w:tcPr>
          <w:p>
            <w:pPr>
              <w:spacing w:line="240" w:lineRule="auto"/>
              <w:jc w:val="right"/>
              <w:rPr>
                <w:b/>
                <w:color w:val="000000" w:themeColor="text1"/>
                <w:sz w:val="24"/>
                <w:szCs w:val="24"/>
              </w:rPr>
            </w:pPr>
            <w:r>
              <w:rPr>
                <w:b/>
                <w:color w:val="000000" w:themeColor="text1"/>
                <w:sz w:val="24"/>
                <w:szCs w:val="24"/>
              </w:rPr>
              <w:t>450.94</w:t>
            </w:r>
          </w:p>
        </w:tc>
        <w:tc>
          <w:tcPr>
            <w:tcW w:w="639" w:type="pct"/>
            <w:shd w:val="clear" w:color="auto" w:fill="auto"/>
            <w:noWrap/>
            <w:vAlign w:val="bottom"/>
            <w:hideMark/>
          </w:tcPr>
          <w:p>
            <w:pPr>
              <w:spacing w:line="240" w:lineRule="auto"/>
              <w:jc w:val="right"/>
              <w:rPr>
                <w:b/>
                <w:color w:val="000000" w:themeColor="text1"/>
                <w:sz w:val="24"/>
                <w:szCs w:val="24"/>
              </w:rPr>
            </w:pPr>
            <w:r>
              <w:rPr>
                <w:b/>
                <w:color w:val="000000" w:themeColor="text1"/>
                <w:sz w:val="24"/>
                <w:szCs w:val="24"/>
              </w:rPr>
              <w:t>4</w:t>
            </w:r>
          </w:p>
        </w:tc>
        <w:tc>
          <w:tcPr>
            <w:tcW w:w="507" w:type="pct"/>
            <w:shd w:val="clear" w:color="auto" w:fill="auto"/>
            <w:noWrap/>
            <w:vAlign w:val="bottom"/>
            <w:hideMark/>
          </w:tcPr>
          <w:p>
            <w:pPr>
              <w:spacing w:line="240" w:lineRule="auto"/>
              <w:jc w:val="right"/>
              <w:rPr>
                <w:b/>
                <w:color w:val="000000" w:themeColor="text1"/>
                <w:sz w:val="24"/>
                <w:szCs w:val="24"/>
              </w:rPr>
            </w:pPr>
            <w:r>
              <w:rPr>
                <w:b/>
                <w:color w:val="000000" w:themeColor="text1"/>
                <w:sz w:val="24"/>
                <w:szCs w:val="24"/>
              </w:rPr>
              <w:t>5</w:t>
            </w:r>
          </w:p>
        </w:tc>
        <w:tc>
          <w:tcPr>
            <w:tcW w:w="426" w:type="pct"/>
            <w:shd w:val="clear" w:color="auto" w:fill="auto"/>
            <w:noWrap/>
            <w:vAlign w:val="bottom"/>
            <w:hideMark/>
          </w:tcPr>
          <w:p>
            <w:pPr>
              <w:spacing w:line="240" w:lineRule="auto"/>
              <w:jc w:val="right"/>
              <w:rPr>
                <w:b/>
                <w:color w:val="000000" w:themeColor="text1"/>
                <w:sz w:val="24"/>
                <w:szCs w:val="24"/>
              </w:rPr>
            </w:pPr>
            <w:r>
              <w:rPr>
                <w:b/>
                <w:color w:val="000000" w:themeColor="text1"/>
                <w:sz w:val="24"/>
                <w:szCs w:val="24"/>
              </w:rPr>
              <w:t>31.5</w:t>
            </w:r>
          </w:p>
        </w:tc>
        <w:tc>
          <w:tcPr>
            <w:tcW w:w="498" w:type="pct"/>
            <w:shd w:val="clear" w:color="auto" w:fill="auto"/>
            <w:noWrap/>
            <w:vAlign w:val="bottom"/>
            <w:hideMark/>
          </w:tcPr>
          <w:p>
            <w:pPr>
              <w:spacing w:line="240" w:lineRule="auto"/>
              <w:jc w:val="right"/>
              <w:rPr>
                <w:b/>
                <w:color w:val="000000" w:themeColor="text1"/>
                <w:sz w:val="24"/>
                <w:szCs w:val="24"/>
              </w:rPr>
            </w:pPr>
            <w:r>
              <w:rPr>
                <w:b/>
                <w:color w:val="000000" w:themeColor="text1"/>
                <w:sz w:val="24"/>
                <w:szCs w:val="24"/>
              </w:rPr>
              <w:t>2.75</w:t>
            </w:r>
          </w:p>
        </w:tc>
        <w:tc>
          <w:tcPr>
            <w:tcW w:w="572" w:type="pct"/>
            <w:shd w:val="clear" w:color="auto" w:fill="auto"/>
            <w:noWrap/>
            <w:vAlign w:val="bottom"/>
            <w:hideMark/>
          </w:tcPr>
          <w:p>
            <w:pPr>
              <w:spacing w:line="240" w:lineRule="auto"/>
              <w:jc w:val="right"/>
              <w:rPr>
                <w:b/>
                <w:color w:val="000000" w:themeColor="text1"/>
                <w:sz w:val="24"/>
                <w:szCs w:val="24"/>
              </w:rPr>
            </w:pPr>
            <w:r>
              <w:rPr>
                <w:b/>
                <w:color w:val="000000" w:themeColor="text1"/>
                <w:sz w:val="24"/>
                <w:szCs w:val="24"/>
              </w:rPr>
              <w:t>77.19</w:t>
            </w:r>
          </w:p>
        </w:tc>
      </w:tr>
    </w:tbl>
    <w:p>
      <w:pPr>
        <w:spacing w:line="240" w:lineRule="auto"/>
        <w:rPr>
          <w:color w:val="000000" w:themeColor="text1"/>
          <w:sz w:val="24"/>
          <w:szCs w:val="24"/>
        </w:rPr>
      </w:pPr>
      <w:r>
        <w:rPr>
          <w:color w:val="000000" w:themeColor="text1"/>
          <w:sz w:val="24"/>
          <w:szCs w:val="24"/>
        </w:rPr>
        <w:t>MW- molecular weight; NRS - number of ring systems; RBN -rotatable bonds; RB - rigid bonds</w:t>
      </w:r>
    </w:p>
    <w:p>
      <w:pPr>
        <w:spacing w:line="240" w:lineRule="auto"/>
        <w:rPr>
          <w:color w:val="FF0000"/>
          <w:sz w:val="24"/>
          <w:szCs w:val="24"/>
        </w:rPr>
      </w:pPr>
    </w:p>
    <w:p>
      <w:pPr>
        <w:pStyle w:val="HTMLPreformatted"/>
        <w:rPr>
          <w:rFonts w:ascii="Times New Roman" w:hAnsi="Times New Roman" w:cs="Times New Roman"/>
          <w:sz w:val="24"/>
          <w:szCs w:val="24"/>
        </w:rPr>
      </w:pPr>
    </w:p>
    <w:p>
      <w:pPr>
        <w:pStyle w:val="HTMLPreformatted"/>
        <w:rPr>
          <w:rFonts w:ascii="Times New Roman" w:hAnsi="Times New Roman" w:cs="Times New Roman"/>
          <w:sz w:val="24"/>
          <w:szCs w:val="24"/>
        </w:rPr>
      </w:pPr>
      <w:r>
        <w:rPr>
          <w:rFonts w:ascii="Times New Roman" w:hAnsi="Times New Roman" w:cs="Times New Roman"/>
          <w:sz w:val="24"/>
          <w:szCs w:val="24"/>
        </w:rPr>
        <w:t xml:space="preserve">We included the abovementioned data in the </w:t>
      </w:r>
      <w:r>
        <w:rPr>
          <w:rFonts w:ascii="Times New Roman" w:hAnsi="Times New Roman" w:cs="Times New Roman"/>
          <w:sz w:val="24"/>
          <w:szCs w:val="24"/>
          <w:lang w:val="en"/>
        </w:rPr>
        <w:t>Supplementary Material</w:t>
      </w:r>
      <w:r>
        <w:rPr>
          <w:rFonts w:ascii="Times New Roman" w:hAnsi="Times New Roman" w:cs="Times New Roman"/>
          <w:sz w:val="24"/>
          <w:szCs w:val="24"/>
        </w:rPr>
        <w:t>.</w:t>
      </w:r>
    </w:p>
    <w:p>
      <w:pPr>
        <w:spacing w:line="240" w:lineRule="auto"/>
        <w:rPr>
          <w:color w:val="FF0000"/>
          <w:sz w:val="24"/>
          <w:szCs w:val="24"/>
        </w:rPr>
      </w:pPr>
    </w:p>
    <w:p>
      <w:pPr>
        <w:pStyle w:val="HTMLPreformatted"/>
        <w:rPr>
          <w:rFonts w:ascii="Times New Roman" w:hAnsi="Times New Roman" w:cs="Times New Roman"/>
          <w:color w:val="C00000"/>
          <w:sz w:val="24"/>
          <w:szCs w:val="24"/>
        </w:rPr>
      </w:pPr>
      <w:r>
        <w:rPr>
          <w:rFonts w:ascii="Times New Roman" w:hAnsi="Times New Roman" w:cs="Times New Roman"/>
          <w:color w:val="C00000"/>
          <w:sz w:val="24"/>
          <w:szCs w:val="24"/>
        </w:rPr>
        <w:tab/>
      </w:r>
    </w:p>
    <w:p>
      <w:pPr>
        <w:pStyle w:val="HTMLPreformatted"/>
        <w:rPr>
          <w:rFonts w:ascii="Times New Roman" w:hAnsi="Times New Roman" w:cs="Times New Roman"/>
          <w:sz w:val="24"/>
          <w:szCs w:val="24"/>
        </w:rPr>
      </w:pPr>
      <w:r>
        <w:rPr>
          <w:rFonts w:ascii="Times New Roman" w:hAnsi="Times New Roman" w:cs="Times New Roman"/>
          <w:color w:val="C00000"/>
          <w:sz w:val="24"/>
          <w:szCs w:val="24"/>
        </w:rPr>
        <w:tab/>
        <w:t xml:space="preserve">The language </w:t>
      </w:r>
      <w:proofErr w:type="gramStart"/>
      <w:r>
        <w:rPr>
          <w:rFonts w:ascii="Times New Roman" w:hAnsi="Times New Roman" w:cs="Times New Roman"/>
          <w:color w:val="C00000"/>
          <w:sz w:val="24"/>
          <w:szCs w:val="24"/>
        </w:rPr>
        <w:t>should be improved</w:t>
      </w:r>
      <w:proofErr w:type="gramEnd"/>
      <w:r>
        <w:rPr>
          <w:rFonts w:ascii="Times New Roman" w:hAnsi="Times New Roman" w:cs="Times New Roman"/>
          <w:color w:val="C00000"/>
          <w:sz w:val="24"/>
          <w:szCs w:val="24"/>
        </w:rPr>
        <w:t xml:space="preserve"> substantially. It feels hard to read.</w:t>
      </w:r>
    </w:p>
    <w:p>
      <w:pPr>
        <w:pStyle w:val="HTMLPreformatted"/>
        <w:rPr>
          <w:rFonts w:ascii="Times New Roman" w:hAnsi="Times New Roman" w:cs="Times New Roman"/>
          <w:sz w:val="24"/>
          <w:szCs w:val="24"/>
        </w:rPr>
      </w:pPr>
    </w:p>
    <w:p>
      <w:pPr>
        <w:spacing w:line="240" w:lineRule="auto"/>
        <w:rPr>
          <w:sz w:val="24"/>
          <w:szCs w:val="24"/>
        </w:rPr>
      </w:pPr>
      <w:r>
        <w:rPr>
          <w:sz w:val="24"/>
          <w:szCs w:val="24"/>
        </w:rPr>
        <w:t>We regret there were problems with the English. The paper has been revised to improve the grammar and readability.</w:t>
      </w:r>
    </w:p>
    <w:p>
      <w:pPr>
        <w:autoSpaceDE w:val="0"/>
        <w:autoSpaceDN w:val="0"/>
        <w:spacing w:line="240" w:lineRule="auto"/>
        <w:rPr>
          <w:rFonts w:eastAsia="AdvTTR"/>
          <w:sz w:val="24"/>
          <w:szCs w:val="24"/>
          <w:lang w:val="fr-FR"/>
        </w:rPr>
      </w:pPr>
    </w:p>
    <w:sectPr>
      <w:footerReference w:type="default" r:id="rId13"/>
      <w:pgSz w:w="11906" w:h="16838"/>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TR">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260356"/>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rPr>
            <w:noProof/>
          </w:rPr>
          <w:t>3</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E1ECD"/>
    <w:multiLevelType w:val="multilevel"/>
    <w:tmpl w:val="BAE4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GwMDeztDQ1MzUzMDFS0lEKTi0uzszPAykwNKkFAMZKSxAt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7DD17-6558-4D86-880C-2B6B9B92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after="0" w:line="360" w:lineRule="atLeast"/>
      <w:jc w:val="both"/>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hlfld-contribauthor">
    <w:name w:val="hlfld-contribauthor"/>
    <w:basedOn w:val="DefaultParagraphFont"/>
  </w:style>
  <w:style w:type="character" w:customStyle="1" w:styleId="author-xref-symbol">
    <w:name w:val="author-xref-symbol"/>
    <w:basedOn w:val="DefaultParagraphFont"/>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eastAsia="en-GB"/>
    </w:rPr>
  </w:style>
  <w:style w:type="paragraph" w:styleId="NormalWeb">
    <w:name w:val="Normal (Web)"/>
    <w:basedOn w:val="Normal"/>
    <w:uiPriority w:val="99"/>
    <w:semiHidden/>
    <w:unhideWhenUsed/>
    <w:pPr>
      <w:spacing w:before="100" w:beforeAutospacing="1" w:after="100" w:afterAutospacing="1" w:line="240" w:lineRule="auto"/>
    </w:pPr>
    <w:rPr>
      <w:rFonts w:eastAsiaTheme="minorEastAsia"/>
      <w:sz w:val="24"/>
      <w:szCs w:val="24"/>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9354">
      <w:bodyDiv w:val="1"/>
      <w:marLeft w:val="0"/>
      <w:marRight w:val="0"/>
      <w:marTop w:val="0"/>
      <w:marBottom w:val="0"/>
      <w:divBdr>
        <w:top w:val="none" w:sz="0" w:space="0" w:color="auto"/>
        <w:left w:val="none" w:sz="0" w:space="0" w:color="auto"/>
        <w:bottom w:val="none" w:sz="0" w:space="0" w:color="auto"/>
        <w:right w:val="none" w:sz="0" w:space="0" w:color="auto"/>
      </w:divBdr>
    </w:div>
    <w:div w:id="494343254">
      <w:bodyDiv w:val="1"/>
      <w:marLeft w:val="0"/>
      <w:marRight w:val="0"/>
      <w:marTop w:val="0"/>
      <w:marBottom w:val="0"/>
      <w:divBdr>
        <w:top w:val="none" w:sz="0" w:space="0" w:color="auto"/>
        <w:left w:val="none" w:sz="0" w:space="0" w:color="auto"/>
        <w:bottom w:val="none" w:sz="0" w:space="0" w:color="auto"/>
        <w:right w:val="none" w:sz="0" w:space="0" w:color="auto"/>
      </w:divBdr>
    </w:div>
    <w:div w:id="520509265">
      <w:bodyDiv w:val="1"/>
      <w:marLeft w:val="0"/>
      <w:marRight w:val="0"/>
      <w:marTop w:val="0"/>
      <w:marBottom w:val="0"/>
      <w:divBdr>
        <w:top w:val="none" w:sz="0" w:space="0" w:color="auto"/>
        <w:left w:val="none" w:sz="0" w:space="0" w:color="auto"/>
        <w:bottom w:val="none" w:sz="0" w:space="0" w:color="auto"/>
        <w:right w:val="none" w:sz="0" w:space="0" w:color="auto"/>
      </w:divBdr>
    </w:div>
    <w:div w:id="618144814">
      <w:bodyDiv w:val="1"/>
      <w:marLeft w:val="0"/>
      <w:marRight w:val="0"/>
      <w:marTop w:val="0"/>
      <w:marBottom w:val="0"/>
      <w:divBdr>
        <w:top w:val="none" w:sz="0" w:space="0" w:color="auto"/>
        <w:left w:val="none" w:sz="0" w:space="0" w:color="auto"/>
        <w:bottom w:val="none" w:sz="0" w:space="0" w:color="auto"/>
        <w:right w:val="none" w:sz="0" w:space="0" w:color="auto"/>
      </w:divBdr>
    </w:div>
    <w:div w:id="914824385">
      <w:bodyDiv w:val="1"/>
      <w:marLeft w:val="0"/>
      <w:marRight w:val="0"/>
      <w:marTop w:val="0"/>
      <w:marBottom w:val="0"/>
      <w:divBdr>
        <w:top w:val="none" w:sz="0" w:space="0" w:color="auto"/>
        <w:left w:val="none" w:sz="0" w:space="0" w:color="auto"/>
        <w:bottom w:val="none" w:sz="0" w:space="0" w:color="auto"/>
        <w:right w:val="none" w:sz="0" w:space="0" w:color="auto"/>
      </w:divBdr>
    </w:div>
    <w:div w:id="1101727036">
      <w:bodyDiv w:val="1"/>
      <w:marLeft w:val="0"/>
      <w:marRight w:val="0"/>
      <w:marTop w:val="0"/>
      <w:marBottom w:val="0"/>
      <w:divBdr>
        <w:top w:val="none" w:sz="0" w:space="0" w:color="auto"/>
        <w:left w:val="none" w:sz="0" w:space="0" w:color="auto"/>
        <w:bottom w:val="none" w:sz="0" w:space="0" w:color="auto"/>
        <w:right w:val="none" w:sz="0" w:space="0" w:color="auto"/>
      </w:divBdr>
    </w:div>
    <w:div w:id="1190220313">
      <w:bodyDiv w:val="1"/>
      <w:marLeft w:val="0"/>
      <w:marRight w:val="0"/>
      <w:marTop w:val="0"/>
      <w:marBottom w:val="0"/>
      <w:divBdr>
        <w:top w:val="none" w:sz="0" w:space="0" w:color="auto"/>
        <w:left w:val="none" w:sz="0" w:space="0" w:color="auto"/>
        <w:bottom w:val="none" w:sz="0" w:space="0" w:color="auto"/>
        <w:right w:val="none" w:sz="0" w:space="0" w:color="auto"/>
      </w:divBdr>
    </w:div>
    <w:div w:id="1290010798">
      <w:bodyDiv w:val="1"/>
      <w:marLeft w:val="0"/>
      <w:marRight w:val="0"/>
      <w:marTop w:val="0"/>
      <w:marBottom w:val="0"/>
      <w:divBdr>
        <w:top w:val="none" w:sz="0" w:space="0" w:color="auto"/>
        <w:left w:val="none" w:sz="0" w:space="0" w:color="auto"/>
        <w:bottom w:val="none" w:sz="0" w:space="0" w:color="auto"/>
        <w:right w:val="none" w:sz="0" w:space="0" w:color="auto"/>
      </w:divBdr>
    </w:div>
    <w:div w:id="1495755585">
      <w:bodyDiv w:val="1"/>
      <w:marLeft w:val="0"/>
      <w:marRight w:val="0"/>
      <w:marTop w:val="0"/>
      <w:marBottom w:val="0"/>
      <w:divBdr>
        <w:top w:val="none" w:sz="0" w:space="0" w:color="auto"/>
        <w:left w:val="none" w:sz="0" w:space="0" w:color="auto"/>
        <w:bottom w:val="none" w:sz="0" w:space="0" w:color="auto"/>
        <w:right w:val="none" w:sz="0" w:space="0" w:color="auto"/>
      </w:divBdr>
    </w:div>
    <w:div w:id="1629776897">
      <w:bodyDiv w:val="1"/>
      <w:marLeft w:val="0"/>
      <w:marRight w:val="0"/>
      <w:marTop w:val="0"/>
      <w:marBottom w:val="0"/>
      <w:divBdr>
        <w:top w:val="none" w:sz="0" w:space="0" w:color="auto"/>
        <w:left w:val="none" w:sz="0" w:space="0" w:color="auto"/>
        <w:bottom w:val="none" w:sz="0" w:space="0" w:color="auto"/>
        <w:right w:val="none" w:sz="0" w:space="0" w:color="auto"/>
      </w:divBdr>
    </w:div>
    <w:div w:id="1787037128">
      <w:bodyDiv w:val="1"/>
      <w:marLeft w:val="0"/>
      <w:marRight w:val="0"/>
      <w:marTop w:val="0"/>
      <w:marBottom w:val="0"/>
      <w:divBdr>
        <w:top w:val="none" w:sz="0" w:space="0" w:color="auto"/>
        <w:left w:val="none" w:sz="0" w:space="0" w:color="auto"/>
        <w:bottom w:val="none" w:sz="0" w:space="0" w:color="auto"/>
        <w:right w:val="none" w:sz="0" w:space="0" w:color="auto"/>
      </w:divBdr>
    </w:div>
    <w:div w:id="1891304052">
      <w:bodyDiv w:val="1"/>
      <w:marLeft w:val="0"/>
      <w:marRight w:val="0"/>
      <w:marTop w:val="0"/>
      <w:marBottom w:val="0"/>
      <w:divBdr>
        <w:top w:val="none" w:sz="0" w:space="0" w:color="auto"/>
        <w:left w:val="none" w:sz="0" w:space="0" w:color="auto"/>
        <w:bottom w:val="none" w:sz="0" w:space="0" w:color="auto"/>
        <w:right w:val="none" w:sz="0" w:space="0" w:color="auto"/>
      </w:divBdr>
    </w:div>
    <w:div w:id="20912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23/A:102086911868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16/S1093-3263(01)00123-1"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drudis.2006.10.00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35</cp:revision>
  <dcterms:created xsi:type="dcterms:W3CDTF">2019-06-27T08:14:00Z</dcterms:created>
  <dcterms:modified xsi:type="dcterms:W3CDTF">2019-07-05T06:52:00Z</dcterms:modified>
</cp:coreProperties>
</file>