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EF" w:rsidRPr="00590EEF" w:rsidRDefault="00590EEF" w:rsidP="00590EEF">
      <w:pPr>
        <w:autoSpaceDE w:val="0"/>
        <w:autoSpaceDN w:val="0"/>
        <w:adjustRightInd w:val="0"/>
        <w:spacing w:after="0" w:line="360" w:lineRule="auto"/>
        <w:jc w:val="center"/>
        <w:rPr>
          <w:rFonts w:ascii="Times New Roman" w:eastAsia="TimesNewRoman" w:hAnsi="Times New Roman" w:cs="Times New Roman"/>
          <w:sz w:val="24"/>
          <w:szCs w:val="24"/>
        </w:rPr>
      </w:pPr>
      <w:r w:rsidRPr="00590EEF">
        <w:rPr>
          <w:rFonts w:ascii="Times New Roman" w:eastAsia="TimesNewRoman" w:hAnsi="Times New Roman" w:cs="Times New Roman"/>
          <w:sz w:val="24"/>
          <w:szCs w:val="24"/>
        </w:rPr>
        <w:t>SUPPLEMENTARY MATERIAL TO</w:t>
      </w:r>
    </w:p>
    <w:p w:rsidR="00590EEF" w:rsidRPr="003B32A7" w:rsidRDefault="00590EEF" w:rsidP="00590EEF">
      <w:pPr>
        <w:spacing w:after="0" w:line="360" w:lineRule="auto"/>
        <w:jc w:val="center"/>
        <w:rPr>
          <w:rFonts w:ascii="Times New Roman" w:hAnsi="Times New Roman" w:cs="Times New Roman"/>
          <w:sz w:val="24"/>
          <w:szCs w:val="24"/>
        </w:rPr>
      </w:pPr>
      <w:r w:rsidRPr="00C50060">
        <w:rPr>
          <w:rFonts w:ascii="Times New Roman" w:hAnsi="Times New Roman" w:cs="Times New Roman"/>
          <w:b/>
          <w:sz w:val="24"/>
          <w:szCs w:val="24"/>
        </w:rPr>
        <w:t xml:space="preserve">Properties of humic acids from </w:t>
      </w:r>
      <w:r>
        <w:rPr>
          <w:rFonts w:ascii="Times New Roman" w:hAnsi="Times New Roman" w:cs="Times New Roman"/>
          <w:b/>
          <w:sz w:val="24"/>
          <w:szCs w:val="24"/>
        </w:rPr>
        <w:t>copper</w:t>
      </w:r>
      <w:r w:rsidRPr="00C50060">
        <w:rPr>
          <w:rFonts w:ascii="Times New Roman" w:hAnsi="Times New Roman" w:cs="Times New Roman"/>
          <w:b/>
          <w:sz w:val="24"/>
          <w:szCs w:val="24"/>
        </w:rPr>
        <w:t xml:space="preserve"> tailings 20 years after reclamation</w:t>
      </w:r>
    </w:p>
    <w:p w:rsidR="00590EEF" w:rsidRDefault="00590EEF" w:rsidP="00590EEF">
      <w:pPr>
        <w:spacing w:after="0" w:line="360" w:lineRule="auto"/>
        <w:jc w:val="center"/>
        <w:rPr>
          <w:rFonts w:ascii="Times New Roman" w:hAnsi="Times New Roman" w:cs="Times New Roman"/>
          <w:caps/>
          <w:sz w:val="24"/>
          <w:szCs w:val="24"/>
        </w:rPr>
      </w:pPr>
      <w:r w:rsidRPr="003B32A7">
        <w:rPr>
          <w:rFonts w:ascii="Times New Roman" w:hAnsi="Times New Roman" w:cs="Times New Roman"/>
          <w:caps/>
          <w:sz w:val="24"/>
          <w:szCs w:val="24"/>
        </w:rPr>
        <w:t>Svjetlana B. Radmanović</w:t>
      </w:r>
      <w:r>
        <w:rPr>
          <w:rFonts w:ascii="Times New Roman" w:hAnsi="Times New Roman" w:cs="Times New Roman"/>
          <w:caps/>
          <w:sz w:val="24"/>
          <w:szCs w:val="24"/>
        </w:rPr>
        <w:t>*</w:t>
      </w:r>
      <w:r w:rsidRPr="003B32A7">
        <w:rPr>
          <w:rFonts w:ascii="Times New Roman" w:hAnsi="Times New Roman" w:cs="Times New Roman"/>
          <w:caps/>
          <w:sz w:val="24"/>
          <w:szCs w:val="24"/>
        </w:rPr>
        <w:t>, Mirjana M. Marković</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Uroš D. Jovanović</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Maja D. Gajić-Kvaščev</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Djuro M. Čokeša</w:t>
      </w:r>
      <w:r>
        <w:rPr>
          <w:rFonts w:ascii="Times New Roman" w:hAnsi="Times New Roman" w:cs="Times New Roman"/>
          <w:caps/>
          <w:sz w:val="24"/>
          <w:szCs w:val="24"/>
          <w:vertAlign w:val="superscript"/>
        </w:rPr>
        <w:t>1</w:t>
      </w:r>
      <w:r w:rsidRPr="003B32A7">
        <w:rPr>
          <w:rFonts w:ascii="Times New Roman" w:hAnsi="Times New Roman" w:cs="Times New Roman"/>
          <w:caps/>
          <w:sz w:val="24"/>
          <w:szCs w:val="24"/>
        </w:rPr>
        <w:t xml:space="preserve"> </w:t>
      </w:r>
    </w:p>
    <w:p w:rsidR="00590EEF" w:rsidRPr="003B32A7" w:rsidRDefault="00590EEF" w:rsidP="00590EEF">
      <w:pPr>
        <w:spacing w:after="0" w:line="360" w:lineRule="auto"/>
        <w:jc w:val="center"/>
        <w:rPr>
          <w:rFonts w:ascii="Times New Roman" w:hAnsi="Times New Roman" w:cs="Times New Roman"/>
          <w:caps/>
          <w:sz w:val="24"/>
          <w:szCs w:val="24"/>
        </w:rPr>
      </w:pPr>
      <w:r w:rsidRPr="003B32A7">
        <w:rPr>
          <w:rFonts w:ascii="Times New Roman" w:hAnsi="Times New Roman" w:cs="Times New Roman"/>
          <w:sz w:val="24"/>
          <w:szCs w:val="24"/>
        </w:rPr>
        <w:t>and</w:t>
      </w:r>
      <w:r w:rsidRPr="003B32A7">
        <w:rPr>
          <w:rFonts w:ascii="Times New Roman" w:hAnsi="Times New Roman" w:cs="Times New Roman"/>
          <w:caps/>
          <w:sz w:val="24"/>
          <w:szCs w:val="24"/>
        </w:rPr>
        <w:t xml:space="preserve"> Jasmina A. Lilić</w:t>
      </w:r>
      <w:r>
        <w:rPr>
          <w:rFonts w:ascii="Times New Roman" w:hAnsi="Times New Roman" w:cs="Times New Roman"/>
          <w:caps/>
          <w:sz w:val="24"/>
          <w:szCs w:val="24"/>
          <w:vertAlign w:val="superscript"/>
        </w:rPr>
        <w:t>2</w:t>
      </w:r>
    </w:p>
    <w:p w:rsidR="00590EEF" w:rsidRPr="003B32A7" w:rsidRDefault="00590EEF" w:rsidP="00590EEF">
      <w:pPr>
        <w:spacing w:after="0" w:line="360" w:lineRule="auto"/>
        <w:jc w:val="center"/>
        <w:rPr>
          <w:rFonts w:ascii="Times New Roman" w:hAnsi="Times New Roman" w:cs="Times New Roman"/>
          <w:i/>
          <w:sz w:val="24"/>
          <w:szCs w:val="24"/>
        </w:rPr>
      </w:pPr>
      <w:r w:rsidRPr="003B32A7">
        <w:rPr>
          <w:rFonts w:ascii="Times New Roman" w:hAnsi="Times New Roman" w:cs="Times New Roman"/>
          <w:i/>
          <w:sz w:val="24"/>
          <w:szCs w:val="24"/>
        </w:rPr>
        <w:t xml:space="preserve">University of Belgrade - Faculty of Agriculture, </w:t>
      </w:r>
      <w:r w:rsidRPr="003B32A7">
        <w:rPr>
          <w:rFonts w:ascii="Times New Roman" w:hAnsi="Times New Roman" w:cs="Times New Roman"/>
          <w:i/>
          <w:color w:val="231F20"/>
          <w:sz w:val="24"/>
          <w:szCs w:val="24"/>
        </w:rPr>
        <w:t>Nemanjina 6, 11080 Belgrade, Serbia</w:t>
      </w:r>
    </w:p>
    <w:p w:rsidR="00590EEF" w:rsidRPr="003B32A7" w:rsidRDefault="00590EEF" w:rsidP="00590EE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Pr="003B32A7">
        <w:rPr>
          <w:rFonts w:ascii="Times New Roman" w:hAnsi="Times New Roman" w:cs="Times New Roman"/>
          <w:i/>
          <w:sz w:val="24"/>
          <w:szCs w:val="24"/>
        </w:rPr>
        <w:t xml:space="preserve">University of Belgrade </w:t>
      </w:r>
      <w:r w:rsidRPr="003B32A7">
        <w:rPr>
          <w:rFonts w:ascii="Times New Roman" w:hAnsi="Times New Roman" w:cs="Times New Roman"/>
          <w:i/>
          <w:color w:val="231F20"/>
          <w:sz w:val="24"/>
          <w:szCs w:val="24"/>
        </w:rPr>
        <w:t>- Vinča Institute of Nuclear Sciences, Chemical Dynamics Laboratory, P.O. Box 522, 11001 Belgrade, Serbia</w:t>
      </w:r>
    </w:p>
    <w:p w:rsidR="00590EEF" w:rsidRPr="006D4732" w:rsidRDefault="00590EEF" w:rsidP="00590EEF">
      <w:pPr>
        <w:spacing w:after="0" w:line="360" w:lineRule="auto"/>
        <w:jc w:val="center"/>
        <w:rPr>
          <w:rFonts w:ascii="Times New Roman" w:hAnsi="Times New Roman" w:cs="Times New Roman"/>
          <w:sz w:val="24"/>
          <w:szCs w:val="24"/>
        </w:rPr>
      </w:pPr>
      <w:r w:rsidRPr="0016570A">
        <w:rPr>
          <w:rFonts w:ascii="Times New Roman" w:hAnsi="Times New Roman" w:cs="Times New Roman"/>
          <w:i/>
          <w:sz w:val="24"/>
          <w:szCs w:val="24"/>
          <w:vertAlign w:val="superscript"/>
        </w:rPr>
        <w:t>2</w:t>
      </w:r>
      <w:r w:rsidR="0016570A" w:rsidRPr="0016570A">
        <w:rPr>
          <w:rFonts w:ascii="Times New Roman" w:hAnsi="Times New Roman" w:cs="Times New Roman"/>
          <w:i/>
          <w:sz w:val="24"/>
          <w:szCs w:val="24"/>
        </w:rPr>
        <w:t>Serbia ZiJin Bor Copper</w:t>
      </w:r>
      <w:r w:rsidRPr="003B32A7">
        <w:rPr>
          <w:rFonts w:ascii="Times New Roman" w:hAnsi="Times New Roman" w:cs="Times New Roman"/>
          <w:i/>
          <w:sz w:val="24"/>
          <w:szCs w:val="24"/>
        </w:rPr>
        <w:t>, 19210 Bor, Serbia</w:t>
      </w:r>
    </w:p>
    <w:p w:rsidR="00590EEF" w:rsidRPr="002D346D" w:rsidRDefault="00590EEF" w:rsidP="00590EEF">
      <w:pPr>
        <w:pStyle w:val="FootnoteText"/>
      </w:pPr>
      <w:r w:rsidRPr="002D346D">
        <w:rPr>
          <w:rStyle w:val="FootnoteReference"/>
        </w:rPr>
        <w:sym w:font="Symbol" w:char="F02A"/>
      </w:r>
      <w:r>
        <w:t xml:space="preserve"> </w:t>
      </w:r>
      <w:r w:rsidRPr="002D346D">
        <w:rPr>
          <w:rFonts w:ascii="Times New Roman" w:hAnsi="Times New Roman" w:cs="Times New Roman"/>
          <w:sz w:val="22"/>
          <w:szCs w:val="22"/>
        </w:rPr>
        <w:t xml:space="preserve">Corresponding author. E- mail: </w:t>
      </w:r>
      <w:r w:rsidRPr="002D346D">
        <w:rPr>
          <w:rFonts w:ascii="Times New Roman" w:hAnsi="Times New Roman" w:cs="Times New Roman"/>
          <w:iCs/>
          <w:sz w:val="22"/>
          <w:szCs w:val="22"/>
        </w:rPr>
        <w:t>scupac@agrif.bg.ac.rs</w:t>
      </w:r>
    </w:p>
    <w:p w:rsidR="00590EEF" w:rsidRDefault="00590EEF" w:rsidP="002E5355">
      <w:pPr>
        <w:spacing w:after="0" w:line="360" w:lineRule="auto"/>
        <w:rPr>
          <w:rFonts w:ascii="Times New Roman" w:hAnsi="Times New Roman" w:cs="Times New Roman"/>
          <w:caps/>
        </w:rPr>
      </w:pPr>
    </w:p>
    <w:p w:rsidR="0016570A" w:rsidRDefault="0016570A" w:rsidP="002E5355">
      <w:pPr>
        <w:spacing w:after="0" w:line="360" w:lineRule="auto"/>
        <w:rPr>
          <w:rFonts w:ascii="Times New Roman" w:hAnsi="Times New Roman" w:cs="Times New Roman"/>
          <w:caps/>
        </w:rPr>
      </w:pPr>
    </w:p>
    <w:p w:rsidR="00B963BF" w:rsidRPr="003B32A7" w:rsidRDefault="00B963BF" w:rsidP="00B963BF">
      <w:pPr>
        <w:spacing w:after="0" w:line="360" w:lineRule="auto"/>
        <w:jc w:val="center"/>
        <w:rPr>
          <w:rFonts w:ascii="Times New Roman" w:hAnsi="Times New Roman" w:cs="Times New Roman"/>
          <w:sz w:val="24"/>
          <w:szCs w:val="24"/>
        </w:rPr>
      </w:pPr>
      <w:r w:rsidRPr="003B32A7">
        <w:rPr>
          <w:rFonts w:ascii="Times New Roman" w:hAnsi="Times New Roman" w:cs="Times New Roman"/>
          <w:sz w:val="24"/>
          <w:szCs w:val="24"/>
        </w:rPr>
        <w:t>EXPERIMENTAL</w:t>
      </w:r>
    </w:p>
    <w:p w:rsidR="007D5E99" w:rsidRDefault="007D5E99" w:rsidP="002E5355">
      <w:pPr>
        <w:spacing w:after="0" w:line="360" w:lineRule="auto"/>
        <w:rPr>
          <w:rFonts w:ascii="Times New Roman" w:hAnsi="Times New Roman" w:cs="Times New Roman"/>
          <w:caps/>
        </w:rPr>
      </w:pPr>
    </w:p>
    <w:p w:rsidR="007D5E99" w:rsidRDefault="007D5E99" w:rsidP="007D5E99">
      <w:pPr>
        <w:spacing w:after="0" w:line="360" w:lineRule="auto"/>
        <w:jc w:val="center"/>
        <w:rPr>
          <w:rFonts w:ascii="Times New Roman" w:hAnsi="Times New Roman" w:cs="Times New Roman"/>
          <w:caps/>
        </w:rPr>
      </w:pPr>
      <w:r>
        <w:rPr>
          <w:rFonts w:ascii="Times New Roman" w:hAnsi="Times New Roman" w:cs="Times New Roman"/>
          <w:caps/>
          <w:noProof/>
        </w:rPr>
        <w:drawing>
          <wp:inline distT="0" distB="0" distL="0" distR="0">
            <wp:extent cx="1869440" cy="2326640"/>
            <wp:effectExtent l="19050" t="0" r="0" b="0"/>
            <wp:docPr id="2" name="Picture 1" descr="D:\Podaci\RADOVI\Tehnosoli\Huminske kiseline\XXXXXX\Supplementary Material Fig.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daci\RADOVI\Tehnosoli\Huminske kiseline\XXXXXX\Supplementary Material Fig. S-1.tif"/>
                    <pic:cNvPicPr>
                      <a:picLocks noChangeAspect="1" noChangeArrowheads="1"/>
                    </pic:cNvPicPr>
                  </pic:nvPicPr>
                  <pic:blipFill>
                    <a:blip r:embed="rId5" cstate="print"/>
                    <a:srcRect/>
                    <a:stretch>
                      <a:fillRect/>
                    </a:stretch>
                  </pic:blipFill>
                  <pic:spPr bwMode="auto">
                    <a:xfrm>
                      <a:off x="0" y="0"/>
                      <a:ext cx="1869440" cy="2326640"/>
                    </a:xfrm>
                    <a:prstGeom prst="rect">
                      <a:avLst/>
                    </a:prstGeom>
                    <a:noFill/>
                    <a:ln w="9525">
                      <a:noFill/>
                      <a:miter lim="800000"/>
                      <a:headEnd/>
                      <a:tailEnd/>
                    </a:ln>
                  </pic:spPr>
                </pic:pic>
              </a:graphicData>
            </a:graphic>
          </wp:inline>
        </w:drawing>
      </w:r>
    </w:p>
    <w:p w:rsidR="007D5E99" w:rsidRDefault="007D5E99" w:rsidP="002E5355">
      <w:pPr>
        <w:spacing w:after="0" w:line="360" w:lineRule="auto"/>
        <w:rPr>
          <w:rFonts w:ascii="Times New Roman" w:hAnsi="Times New Roman" w:cs="Times New Roman"/>
          <w:caps/>
        </w:rPr>
      </w:pPr>
    </w:p>
    <w:p w:rsidR="007D5E99" w:rsidRPr="007D5E99" w:rsidRDefault="007D5E99" w:rsidP="007D5E99">
      <w:pPr>
        <w:autoSpaceDE w:val="0"/>
        <w:autoSpaceDN w:val="0"/>
        <w:adjustRightInd w:val="0"/>
        <w:spacing w:after="0" w:line="360" w:lineRule="auto"/>
        <w:jc w:val="center"/>
        <w:rPr>
          <w:rFonts w:ascii="Times New Roman" w:hAnsi="Times New Roman" w:cs="Times New Roman"/>
        </w:rPr>
      </w:pPr>
      <w:r w:rsidRPr="007D5E99">
        <w:rPr>
          <w:rFonts w:ascii="Times New Roman" w:hAnsi="Times New Roman" w:cs="Times New Roman"/>
        </w:rPr>
        <w:t>Fig. S-1. Study area: Aerial view of</w:t>
      </w:r>
      <w:r w:rsidR="00CE02E4">
        <w:rPr>
          <w:rFonts w:ascii="Times New Roman" w:hAnsi="Times New Roman" w:cs="Times New Roman"/>
        </w:rPr>
        <w:t xml:space="preserve"> </w:t>
      </w:r>
      <w:r w:rsidR="00CE02E4" w:rsidRPr="00A856EB">
        <w:rPr>
          <w:rFonts w:ascii="Times New Roman" w:hAnsi="Times New Roman" w:cs="Times New Roman"/>
        </w:rPr>
        <w:t>copper mine</w:t>
      </w:r>
      <w:r w:rsidRPr="007D5E99">
        <w:rPr>
          <w:rFonts w:ascii="Times New Roman" w:hAnsi="Times New Roman" w:cs="Times New Roman"/>
        </w:rPr>
        <w:t xml:space="preserve"> (PFT: post-flotation tailings) and </w:t>
      </w:r>
      <w:r w:rsidR="00A856EB">
        <w:rPr>
          <w:rFonts w:ascii="Times New Roman" w:hAnsi="Times New Roman" w:cs="Times New Roman"/>
        </w:rPr>
        <w:t xml:space="preserve">the </w:t>
      </w:r>
      <w:r w:rsidR="00A856EB" w:rsidRPr="00A856EB">
        <w:rPr>
          <w:rFonts w:ascii="Times New Roman" w:hAnsi="Times New Roman" w:cs="Times New Roman"/>
        </w:rPr>
        <w:t xml:space="preserve">city </w:t>
      </w:r>
      <w:r w:rsidR="00A856EB">
        <w:rPr>
          <w:rFonts w:ascii="Times New Roman" w:hAnsi="Times New Roman" w:cs="Times New Roman"/>
        </w:rPr>
        <w:t xml:space="preserve">of </w:t>
      </w:r>
      <w:r w:rsidRPr="00A856EB">
        <w:rPr>
          <w:rFonts w:ascii="Times New Roman" w:hAnsi="Times New Roman" w:cs="Times New Roman"/>
        </w:rPr>
        <w:t xml:space="preserve">Bor </w:t>
      </w:r>
      <w:r w:rsidRPr="007D5E99">
        <w:rPr>
          <w:rFonts w:ascii="Times New Roman" w:hAnsi="Times New Roman" w:cs="Times New Roman"/>
        </w:rPr>
        <w:t xml:space="preserve">with soil sampling locations: TCs-Technosols (lines - direction of taking TC soil samples), CBs-control arable soils. </w:t>
      </w:r>
    </w:p>
    <w:p w:rsidR="007D5E99" w:rsidRDefault="007D5E99" w:rsidP="002E5355">
      <w:pPr>
        <w:spacing w:after="0" w:line="360" w:lineRule="auto"/>
        <w:rPr>
          <w:rFonts w:ascii="Times New Roman" w:hAnsi="Times New Roman" w:cs="Times New Roman"/>
          <w:caps/>
        </w:rPr>
      </w:pPr>
    </w:p>
    <w:p w:rsidR="002E5355" w:rsidRPr="005320C5" w:rsidRDefault="002E5355" w:rsidP="002E5355">
      <w:pPr>
        <w:spacing w:after="0" w:line="360" w:lineRule="auto"/>
        <w:rPr>
          <w:rFonts w:ascii="Times New Roman" w:hAnsi="Times New Roman" w:cs="Times New Roman"/>
          <w:i/>
        </w:rPr>
      </w:pPr>
      <w:r w:rsidRPr="005320C5">
        <w:rPr>
          <w:rFonts w:ascii="Times New Roman" w:hAnsi="Times New Roman" w:cs="Times New Roman"/>
          <w:caps/>
        </w:rPr>
        <w:t>T</w:t>
      </w:r>
      <w:r w:rsidRPr="00590EEF">
        <w:rPr>
          <w:rFonts w:ascii="Times New Roman" w:hAnsi="Times New Roman" w:cs="Times New Roman"/>
        </w:rPr>
        <w:t>able</w:t>
      </w:r>
      <w:r w:rsidRPr="005320C5">
        <w:rPr>
          <w:rFonts w:ascii="Times New Roman" w:hAnsi="Times New Roman" w:cs="Times New Roman"/>
        </w:rPr>
        <w:t xml:space="preserve"> </w:t>
      </w:r>
      <w:r w:rsidR="00590EEF">
        <w:rPr>
          <w:rFonts w:ascii="Times New Roman" w:hAnsi="Times New Roman" w:cs="Times New Roman"/>
        </w:rPr>
        <w:t>S-</w:t>
      </w:r>
      <w:r w:rsidRPr="005320C5">
        <w:rPr>
          <w:rFonts w:ascii="Times New Roman" w:hAnsi="Times New Roman" w:cs="Times New Roman"/>
        </w:rPr>
        <w:t>I. General properties of Technosols (TC1-6) and control natural soils: arable soil</w:t>
      </w:r>
      <w:r>
        <w:rPr>
          <w:rFonts w:ascii="Times New Roman" w:hAnsi="Times New Roman" w:cs="Times New Roman"/>
        </w:rPr>
        <w:t xml:space="preserve"> </w:t>
      </w:r>
      <w:r w:rsidRPr="005320C5">
        <w:rPr>
          <w:rFonts w:ascii="Times New Roman" w:hAnsi="Times New Roman" w:cs="Times New Roman"/>
        </w:rPr>
        <w:t xml:space="preserve">near Bor </w:t>
      </w:r>
      <w:r w:rsidR="00CE02E4" w:rsidRPr="00A856EB">
        <w:rPr>
          <w:rFonts w:ascii="Times New Roman" w:hAnsi="Times New Roman" w:cs="Times New Roman"/>
        </w:rPr>
        <w:t>city</w:t>
      </w:r>
      <w:r w:rsidRPr="005320C5">
        <w:rPr>
          <w:rFonts w:ascii="Times New Roman" w:hAnsi="Times New Roman" w:cs="Times New Roman"/>
        </w:rPr>
        <w:t xml:space="preserve"> (CB7-9) and Chernozem (CCH)</w:t>
      </w:r>
    </w:p>
    <w:tbl>
      <w:tblPr>
        <w:tblW w:w="7196" w:type="dxa"/>
        <w:tblBorders>
          <w:top w:val="single" w:sz="4" w:space="0" w:color="auto"/>
          <w:bottom w:val="single" w:sz="4" w:space="0" w:color="auto"/>
          <w:insideH w:val="single" w:sz="4" w:space="0" w:color="auto"/>
        </w:tblBorders>
        <w:tblLayout w:type="fixed"/>
        <w:tblLook w:val="00A0"/>
      </w:tblPr>
      <w:tblGrid>
        <w:gridCol w:w="851"/>
        <w:gridCol w:w="851"/>
        <w:gridCol w:w="851"/>
        <w:gridCol w:w="850"/>
        <w:gridCol w:w="851"/>
        <w:gridCol w:w="957"/>
        <w:gridCol w:w="993"/>
        <w:gridCol w:w="992"/>
      </w:tblGrid>
      <w:tr w:rsidR="002E5355" w:rsidRPr="005320C5" w:rsidTr="00590EEF">
        <w:trPr>
          <w:trHeight w:val="769"/>
        </w:trPr>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Soil</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Depth</w:t>
            </w:r>
            <w:r>
              <w:rPr>
                <w:rFonts w:ascii="Times New Roman" w:hAnsi="Times New Roman" w:cs="Times New Roman"/>
              </w:rPr>
              <w:t xml:space="preserve">, </w:t>
            </w:r>
            <w:r w:rsidRPr="005320C5">
              <w:rPr>
                <w:rFonts w:ascii="Times New Roman" w:hAnsi="Times New Roman" w:cs="Times New Roman"/>
              </w:rPr>
              <w:t>cm</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Sand</w:t>
            </w:r>
            <w:r>
              <w:rPr>
                <w:rFonts w:ascii="Times New Roman" w:hAnsi="Times New Roman" w:cs="Times New Roman"/>
              </w:rPr>
              <w:t xml:space="preserve">, </w:t>
            </w:r>
            <w:r w:rsidRPr="005320C5">
              <w:rPr>
                <w:rFonts w:ascii="Times New Roman" w:hAnsi="Times New Roman" w:cs="Times New Roman"/>
              </w:rPr>
              <w:t>%</w:t>
            </w:r>
          </w:p>
        </w:tc>
        <w:tc>
          <w:tcPr>
            <w:tcW w:w="850" w:type="dxa"/>
          </w:tcPr>
          <w:p w:rsidR="00590EEF"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Silt</w:t>
            </w:r>
            <w:r>
              <w:rPr>
                <w:rFonts w:ascii="Times New Roman" w:hAnsi="Times New Roman" w:cs="Times New Roman"/>
              </w:rPr>
              <w:t xml:space="preserve">, </w:t>
            </w:r>
          </w:p>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w:t>
            </w:r>
          </w:p>
        </w:tc>
        <w:tc>
          <w:tcPr>
            <w:tcW w:w="851" w:type="dxa"/>
          </w:tcPr>
          <w:p w:rsidR="002E5355" w:rsidRPr="005320C5" w:rsidRDefault="002E5355" w:rsidP="002E5355">
            <w:pPr>
              <w:spacing w:after="0" w:line="360" w:lineRule="auto"/>
              <w:jc w:val="center"/>
              <w:rPr>
                <w:rFonts w:ascii="Times New Roman" w:hAnsi="Times New Roman" w:cs="Times New Roman"/>
              </w:rPr>
            </w:pPr>
            <w:r w:rsidRPr="005320C5">
              <w:rPr>
                <w:rFonts w:ascii="Times New Roman" w:hAnsi="Times New Roman" w:cs="Times New Roman"/>
              </w:rPr>
              <w:t>Clay</w:t>
            </w:r>
            <w:r>
              <w:rPr>
                <w:rFonts w:ascii="Times New Roman" w:hAnsi="Times New Roman" w:cs="Times New Roman"/>
              </w:rPr>
              <w:t xml:space="preserve">, </w:t>
            </w:r>
            <w:r w:rsidRPr="005320C5">
              <w:rPr>
                <w:rFonts w:ascii="Times New Roman" w:hAnsi="Times New Roman" w:cs="Times New Roman"/>
              </w:rPr>
              <w:t>%</w:t>
            </w:r>
          </w:p>
        </w:tc>
        <w:tc>
          <w:tcPr>
            <w:tcW w:w="957"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MWD</w:t>
            </w:r>
            <w:r w:rsidRPr="005320C5">
              <w:rPr>
                <w:rFonts w:ascii="Times New Roman" w:hAnsi="Times New Roman" w:cs="Times New Roman"/>
                <w:vertAlign w:val="superscript"/>
              </w:rPr>
              <w:t>a</w:t>
            </w:r>
          </w:p>
          <w:p w:rsidR="002E5355" w:rsidRPr="005320C5" w:rsidRDefault="002E5355" w:rsidP="00583E3B">
            <w:pPr>
              <w:spacing w:after="0" w:line="360" w:lineRule="auto"/>
              <w:jc w:val="center"/>
              <w:rPr>
                <w:rFonts w:ascii="Times New Roman" w:hAnsi="Times New Roman" w:cs="Times New Roman"/>
              </w:rPr>
            </w:pPr>
          </w:p>
        </w:tc>
        <w:tc>
          <w:tcPr>
            <w:tcW w:w="993" w:type="dxa"/>
          </w:tcPr>
          <w:p w:rsidR="002E5355" w:rsidRPr="005320C5" w:rsidRDefault="002E5355" w:rsidP="00590EEF">
            <w:pPr>
              <w:spacing w:after="0" w:line="360" w:lineRule="auto"/>
              <w:jc w:val="center"/>
              <w:rPr>
                <w:rFonts w:ascii="Times New Roman" w:hAnsi="Times New Roman" w:cs="Times New Roman"/>
              </w:rPr>
            </w:pPr>
            <w:r w:rsidRPr="005320C5">
              <w:rPr>
                <w:rFonts w:ascii="Times New Roman" w:hAnsi="Times New Roman" w:cs="Times New Roman"/>
              </w:rPr>
              <w:t>pH</w:t>
            </w:r>
            <w:r w:rsidR="00590EEF">
              <w:rPr>
                <w:rFonts w:ascii="Times New Roman" w:hAnsi="Times New Roman" w:cs="Times New Roman"/>
              </w:rPr>
              <w:t xml:space="preserve"> </w:t>
            </w:r>
            <w:r w:rsidRPr="005320C5">
              <w:rPr>
                <w:rFonts w:ascii="Times New Roman" w:hAnsi="Times New Roman" w:cs="Times New Roman"/>
              </w:rPr>
              <w:t>in H</w:t>
            </w:r>
            <w:r w:rsidRPr="005320C5">
              <w:rPr>
                <w:rFonts w:ascii="Times New Roman" w:hAnsi="Times New Roman" w:cs="Times New Roman"/>
                <w:vertAlign w:val="subscript"/>
              </w:rPr>
              <w:t>2</w:t>
            </w:r>
            <w:r w:rsidRPr="005320C5">
              <w:rPr>
                <w:rFonts w:ascii="Times New Roman" w:hAnsi="Times New Roman" w:cs="Times New Roman"/>
              </w:rPr>
              <w:t>O</w:t>
            </w:r>
          </w:p>
        </w:tc>
        <w:tc>
          <w:tcPr>
            <w:tcW w:w="992" w:type="dxa"/>
          </w:tcPr>
          <w:p w:rsidR="002E5355" w:rsidRPr="005320C5" w:rsidRDefault="002E5355" w:rsidP="00590EEF">
            <w:pPr>
              <w:spacing w:after="0" w:line="360" w:lineRule="auto"/>
              <w:jc w:val="center"/>
              <w:rPr>
                <w:rFonts w:ascii="Times New Roman" w:hAnsi="Times New Roman" w:cs="Times New Roman"/>
              </w:rPr>
            </w:pPr>
            <w:r w:rsidRPr="00590EEF">
              <w:rPr>
                <w:rFonts w:ascii="Times New Roman" w:hAnsi="Times New Roman" w:cs="Times New Roman"/>
                <w:i/>
              </w:rPr>
              <w:t>TOC</w:t>
            </w:r>
            <w:r w:rsidRPr="005320C5">
              <w:rPr>
                <w:rFonts w:ascii="Times New Roman" w:hAnsi="Times New Roman" w:cs="Times New Roman"/>
                <w:vertAlign w:val="superscript"/>
              </w:rPr>
              <w:t>b</w:t>
            </w:r>
            <w:r w:rsidR="00590EEF">
              <w:rPr>
                <w:rFonts w:ascii="Times New Roman" w:hAnsi="Times New Roman" w:cs="Times New Roman"/>
              </w:rPr>
              <w:t xml:space="preserve"> / </w:t>
            </w:r>
            <w:r w:rsidRPr="005320C5">
              <w:rPr>
                <w:rFonts w:ascii="Times New Roman" w:hAnsi="Times New Roman" w:cs="Times New Roman"/>
              </w:rPr>
              <w:t>%</w:t>
            </w:r>
          </w:p>
        </w:tc>
      </w:tr>
      <w:tr w:rsidR="002E5355" w:rsidRPr="005320C5" w:rsidTr="00590EEF">
        <w:tc>
          <w:tcPr>
            <w:tcW w:w="851" w:type="dxa"/>
            <w:tcBorders>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TC1</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65.15</w:t>
            </w:r>
          </w:p>
        </w:tc>
        <w:tc>
          <w:tcPr>
            <w:tcW w:w="850"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16.39</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18.46</w:t>
            </w:r>
          </w:p>
        </w:tc>
        <w:tc>
          <w:tcPr>
            <w:tcW w:w="957"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0.82</w:t>
            </w:r>
          </w:p>
        </w:tc>
        <w:tc>
          <w:tcPr>
            <w:tcW w:w="993"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4.71</w:t>
            </w:r>
          </w:p>
        </w:tc>
        <w:tc>
          <w:tcPr>
            <w:tcW w:w="992"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1.01</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56.28</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19.69</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24.03</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0.67</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4.64</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0.74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TC3</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61.59</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15.92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22.49</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0.98</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5.43</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0.74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lastRenderedPageBreak/>
              <w:t>TC4</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49.90</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22.76</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27.34</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1.32</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6.48</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1.14</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51.28</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24.11</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25.61</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1.37</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7.24</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1.24</w:t>
            </w:r>
          </w:p>
        </w:tc>
      </w:tr>
      <w:tr w:rsidR="002E5355" w:rsidRPr="005320C5" w:rsidTr="00590EEF">
        <w:tc>
          <w:tcPr>
            <w:tcW w:w="851" w:type="dxa"/>
            <w:tcBorders>
              <w:top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TC6</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15-50</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40.00</w:t>
            </w:r>
          </w:p>
        </w:tc>
        <w:tc>
          <w:tcPr>
            <w:tcW w:w="850"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34.60</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25.40</w:t>
            </w:r>
          </w:p>
        </w:tc>
        <w:tc>
          <w:tcPr>
            <w:tcW w:w="957"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0.82</w:t>
            </w:r>
          </w:p>
        </w:tc>
        <w:tc>
          <w:tcPr>
            <w:tcW w:w="993"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4.17</w:t>
            </w:r>
          </w:p>
        </w:tc>
        <w:tc>
          <w:tcPr>
            <w:tcW w:w="992"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0.39</w:t>
            </w:r>
          </w:p>
        </w:tc>
      </w:tr>
      <w:tr w:rsidR="002E5355" w:rsidRPr="005320C5" w:rsidTr="00590EEF">
        <w:tc>
          <w:tcPr>
            <w:tcW w:w="851" w:type="dxa"/>
            <w:tcBorders>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CB7</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51.60</w:t>
            </w:r>
          </w:p>
        </w:tc>
        <w:tc>
          <w:tcPr>
            <w:tcW w:w="850"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28.20</w:t>
            </w:r>
          </w:p>
        </w:tc>
        <w:tc>
          <w:tcPr>
            <w:tcW w:w="851"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20.20</w:t>
            </w:r>
          </w:p>
        </w:tc>
        <w:tc>
          <w:tcPr>
            <w:tcW w:w="957"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2.74</w:t>
            </w:r>
          </w:p>
        </w:tc>
        <w:tc>
          <w:tcPr>
            <w:tcW w:w="993"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4,96</w:t>
            </w:r>
          </w:p>
        </w:tc>
        <w:tc>
          <w:tcPr>
            <w:tcW w:w="992" w:type="dxa"/>
            <w:tcBorders>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3.46</w:t>
            </w:r>
          </w:p>
        </w:tc>
      </w:tr>
      <w:tr w:rsidR="002E5355" w:rsidRPr="005320C5" w:rsidTr="00590EEF">
        <w:tc>
          <w:tcPr>
            <w:tcW w:w="851" w:type="dxa"/>
            <w:tcBorders>
              <w:top w:val="nil"/>
              <w:bottom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CB8</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31.12</w:t>
            </w:r>
          </w:p>
        </w:tc>
        <w:tc>
          <w:tcPr>
            <w:tcW w:w="850"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30.32</w:t>
            </w:r>
          </w:p>
        </w:tc>
        <w:tc>
          <w:tcPr>
            <w:tcW w:w="851"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38.55</w:t>
            </w:r>
          </w:p>
        </w:tc>
        <w:tc>
          <w:tcPr>
            <w:tcW w:w="957"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3.65</w:t>
            </w:r>
          </w:p>
        </w:tc>
        <w:tc>
          <w:tcPr>
            <w:tcW w:w="993"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7.46</w:t>
            </w:r>
          </w:p>
        </w:tc>
        <w:tc>
          <w:tcPr>
            <w:tcW w:w="992" w:type="dxa"/>
            <w:tcBorders>
              <w:top w:val="nil"/>
              <w:bottom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2.12</w:t>
            </w:r>
          </w:p>
        </w:tc>
      </w:tr>
      <w:tr w:rsidR="002E5355" w:rsidRPr="005320C5" w:rsidTr="00590EEF">
        <w:tc>
          <w:tcPr>
            <w:tcW w:w="851" w:type="dxa"/>
            <w:tcBorders>
              <w:top w:val="nil"/>
            </w:tcBorders>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CB9</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44.00</w:t>
            </w:r>
          </w:p>
        </w:tc>
        <w:tc>
          <w:tcPr>
            <w:tcW w:w="850"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25.56</w:t>
            </w:r>
          </w:p>
        </w:tc>
        <w:tc>
          <w:tcPr>
            <w:tcW w:w="851"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30.44</w:t>
            </w:r>
          </w:p>
        </w:tc>
        <w:tc>
          <w:tcPr>
            <w:tcW w:w="957"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1.99</w:t>
            </w:r>
          </w:p>
        </w:tc>
        <w:tc>
          <w:tcPr>
            <w:tcW w:w="993"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5.00</w:t>
            </w:r>
          </w:p>
        </w:tc>
        <w:tc>
          <w:tcPr>
            <w:tcW w:w="992" w:type="dxa"/>
            <w:tcBorders>
              <w:top w:val="nil"/>
            </w:tcBorders>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3.44</w:t>
            </w:r>
          </w:p>
        </w:tc>
      </w:tr>
      <w:tr w:rsidR="002E5355" w:rsidRPr="005320C5" w:rsidTr="00590EEF">
        <w:tc>
          <w:tcPr>
            <w:tcW w:w="851" w:type="dxa"/>
          </w:tcPr>
          <w:p w:rsidR="002E5355" w:rsidRPr="005320C5" w:rsidRDefault="002E5355" w:rsidP="00583E3B">
            <w:pPr>
              <w:spacing w:after="0" w:line="360" w:lineRule="auto"/>
              <w:rPr>
                <w:rFonts w:ascii="Times New Roman" w:hAnsi="Times New Roman" w:cs="Times New Roman"/>
              </w:rPr>
            </w:pPr>
            <w:r w:rsidRPr="005320C5">
              <w:rPr>
                <w:rFonts w:ascii="Times New Roman" w:hAnsi="Times New Roman" w:cs="Times New Roman"/>
              </w:rPr>
              <w:t>CCH</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0-25</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33.76</w:t>
            </w:r>
          </w:p>
        </w:tc>
        <w:tc>
          <w:tcPr>
            <w:tcW w:w="850"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34.24</w:t>
            </w:r>
          </w:p>
        </w:tc>
        <w:tc>
          <w:tcPr>
            <w:tcW w:w="851"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32.00</w:t>
            </w:r>
          </w:p>
        </w:tc>
        <w:tc>
          <w:tcPr>
            <w:tcW w:w="957"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ND</w:t>
            </w:r>
            <w:r w:rsidRPr="005320C5">
              <w:rPr>
                <w:rFonts w:ascii="Times New Roman" w:hAnsi="Times New Roman" w:cs="Times New Roman"/>
                <w:vertAlign w:val="superscript"/>
              </w:rPr>
              <w:t>c</w:t>
            </w:r>
          </w:p>
        </w:tc>
        <w:tc>
          <w:tcPr>
            <w:tcW w:w="993"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7.83</w:t>
            </w:r>
          </w:p>
        </w:tc>
        <w:tc>
          <w:tcPr>
            <w:tcW w:w="992" w:type="dxa"/>
          </w:tcPr>
          <w:p w:rsidR="002E5355" w:rsidRPr="005320C5" w:rsidRDefault="002E5355" w:rsidP="00583E3B">
            <w:pPr>
              <w:spacing w:after="0" w:line="360" w:lineRule="auto"/>
              <w:jc w:val="center"/>
              <w:rPr>
                <w:rFonts w:ascii="Times New Roman" w:hAnsi="Times New Roman" w:cs="Times New Roman"/>
              </w:rPr>
            </w:pPr>
            <w:r w:rsidRPr="005320C5">
              <w:rPr>
                <w:rFonts w:ascii="Times New Roman" w:hAnsi="Times New Roman" w:cs="Times New Roman"/>
              </w:rPr>
              <w:t>1.89</w:t>
            </w:r>
          </w:p>
        </w:tc>
      </w:tr>
    </w:tbl>
    <w:p w:rsidR="002E5355" w:rsidRPr="005320C5" w:rsidRDefault="002E5355" w:rsidP="002E5355">
      <w:pPr>
        <w:spacing w:after="0" w:line="360" w:lineRule="auto"/>
        <w:rPr>
          <w:rFonts w:ascii="Times New Roman" w:hAnsi="Times New Roman" w:cs="Times New Roman"/>
          <w:sz w:val="20"/>
          <w:szCs w:val="20"/>
        </w:rPr>
      </w:pPr>
      <w:r w:rsidRPr="005320C5">
        <w:rPr>
          <w:rFonts w:ascii="Times New Roman" w:hAnsi="Times New Roman" w:cs="Times New Roman"/>
          <w:sz w:val="20"/>
          <w:szCs w:val="20"/>
          <w:vertAlign w:val="superscript"/>
        </w:rPr>
        <w:t>a</w:t>
      </w:r>
      <w:r w:rsidRPr="005320C5">
        <w:rPr>
          <w:rFonts w:ascii="Times New Roman" w:hAnsi="Times New Roman" w:cs="Times New Roman"/>
          <w:sz w:val="20"/>
          <w:szCs w:val="20"/>
        </w:rPr>
        <w:t xml:space="preserve">MWD - mean weight diameter of soil aggregates; </w:t>
      </w:r>
      <w:r w:rsidRPr="005320C5">
        <w:rPr>
          <w:rFonts w:ascii="Times New Roman" w:hAnsi="Times New Roman" w:cs="Times New Roman"/>
          <w:sz w:val="20"/>
          <w:szCs w:val="20"/>
          <w:vertAlign w:val="superscript"/>
        </w:rPr>
        <w:t>b</w:t>
      </w:r>
      <w:r w:rsidRPr="005320C5">
        <w:rPr>
          <w:rFonts w:ascii="Times New Roman" w:hAnsi="Times New Roman" w:cs="Times New Roman"/>
          <w:sz w:val="20"/>
          <w:szCs w:val="20"/>
        </w:rPr>
        <w:t xml:space="preserve">TOC - total organic carbon; </w:t>
      </w:r>
      <w:r w:rsidRPr="005320C5">
        <w:rPr>
          <w:rFonts w:ascii="Times New Roman" w:hAnsi="Times New Roman" w:cs="Times New Roman"/>
          <w:sz w:val="20"/>
          <w:szCs w:val="20"/>
          <w:vertAlign w:val="superscript"/>
        </w:rPr>
        <w:t>c</w:t>
      </w:r>
      <w:r w:rsidRPr="005320C5">
        <w:rPr>
          <w:rFonts w:ascii="Times New Roman" w:hAnsi="Times New Roman" w:cs="Times New Roman"/>
          <w:sz w:val="20"/>
          <w:szCs w:val="20"/>
        </w:rPr>
        <w:t>ND - not detected</w:t>
      </w:r>
    </w:p>
    <w:p w:rsidR="007D5E99" w:rsidRDefault="007D5E99" w:rsidP="00CE02E4">
      <w:pPr>
        <w:spacing w:after="0" w:line="360" w:lineRule="auto"/>
      </w:pPr>
    </w:p>
    <w:p w:rsidR="00B963BF" w:rsidRPr="00B963BF" w:rsidRDefault="00B963BF" w:rsidP="00CE02E4">
      <w:pPr>
        <w:spacing w:after="0" w:line="360" w:lineRule="auto"/>
        <w:rPr>
          <w:i/>
        </w:rPr>
      </w:pPr>
      <w:r w:rsidRPr="00A856EB">
        <w:rPr>
          <w:rFonts w:ascii="Times New Roman" w:hAnsi="Times New Roman" w:cs="Times New Roman"/>
          <w:i/>
          <w:sz w:val="24"/>
          <w:szCs w:val="24"/>
        </w:rPr>
        <w:t>Detailed description of control soil samples</w:t>
      </w:r>
    </w:p>
    <w:p w:rsidR="00093793" w:rsidRDefault="00CE02E4" w:rsidP="00CE02E4">
      <w:pPr>
        <w:spacing w:after="0" w:line="360" w:lineRule="auto"/>
        <w:jc w:val="both"/>
        <w:rPr>
          <w:rFonts w:ascii="Times New Roman" w:hAnsi="Times New Roman" w:cs="Times New Roman"/>
          <w:sz w:val="24"/>
          <w:szCs w:val="24"/>
        </w:rPr>
      </w:pPr>
      <w:r w:rsidRPr="00C764FC">
        <w:rPr>
          <w:rFonts w:ascii="Times New Roman" w:hAnsi="Times New Roman" w:cs="Times New Roman"/>
          <w:sz w:val="24"/>
          <w:szCs w:val="24"/>
        </w:rPr>
        <w:t>The first group consisted of three HAs (CB7-9) isolated from natural arable soils used in crop production originating from the location nearby a new residential area of Bor, which surface soil layers were used for reclamation of PFT</w:t>
      </w:r>
      <w:r>
        <w:rPr>
          <w:rFonts w:ascii="Times New Roman" w:hAnsi="Times New Roman" w:cs="Times New Roman"/>
          <w:sz w:val="24"/>
          <w:szCs w:val="24"/>
        </w:rPr>
        <w:t xml:space="preserve">. </w:t>
      </w:r>
      <w:r w:rsidR="00093793" w:rsidRPr="00093793">
        <w:rPr>
          <w:rFonts w:ascii="Times New Roman" w:hAnsi="Times New Roman" w:cs="Times New Roman"/>
          <w:sz w:val="24"/>
          <w:szCs w:val="24"/>
        </w:rPr>
        <w:t>These control soil samples were selected primarily due to different pHs, namely two were acid (CB7 and CB9) and one alkaline (CB8). The other reason was the mean weight diameter (MWD) of soil aggregates, rang</w:t>
      </w:r>
      <w:r w:rsidR="0076087E">
        <w:rPr>
          <w:rFonts w:ascii="Times New Roman" w:hAnsi="Times New Roman" w:cs="Times New Roman"/>
          <w:sz w:val="24"/>
          <w:szCs w:val="24"/>
        </w:rPr>
        <w:t>ing from</w:t>
      </w:r>
      <w:r w:rsidR="00093793" w:rsidRPr="00093793">
        <w:rPr>
          <w:rFonts w:ascii="Times New Roman" w:hAnsi="Times New Roman" w:cs="Times New Roman"/>
          <w:sz w:val="24"/>
          <w:szCs w:val="24"/>
        </w:rPr>
        <w:t xml:space="preserve"> 1.99</w:t>
      </w:r>
      <w:r w:rsidR="0076087E">
        <w:rPr>
          <w:rFonts w:ascii="Times New Roman" w:hAnsi="Times New Roman" w:cs="Times New Roman"/>
          <w:sz w:val="24"/>
          <w:szCs w:val="24"/>
        </w:rPr>
        <w:t xml:space="preserve"> to </w:t>
      </w:r>
      <w:r w:rsidR="00093793" w:rsidRPr="00093793">
        <w:rPr>
          <w:rFonts w:ascii="Times New Roman" w:hAnsi="Times New Roman" w:cs="Times New Roman"/>
          <w:sz w:val="24"/>
          <w:szCs w:val="24"/>
        </w:rPr>
        <w:t xml:space="preserve">3.65. Control soil samples had significantly higher SOC content than Technosols. Their soil texture classes were clay loam and loam. </w:t>
      </w:r>
    </w:p>
    <w:p w:rsidR="00093793" w:rsidRPr="00CE02E4" w:rsidRDefault="00CE02E4" w:rsidP="00CE02E4">
      <w:pPr>
        <w:spacing w:after="0" w:line="360" w:lineRule="auto"/>
        <w:jc w:val="both"/>
        <w:rPr>
          <w:rFonts w:ascii="Times New Roman" w:hAnsi="Times New Roman" w:cs="Times New Roman"/>
          <w:sz w:val="24"/>
          <w:szCs w:val="24"/>
        </w:rPr>
      </w:pPr>
      <w:r w:rsidRPr="00C764FC">
        <w:rPr>
          <w:rFonts w:ascii="Times New Roman" w:hAnsi="Times New Roman" w:cs="Times New Roman"/>
          <w:sz w:val="24"/>
          <w:szCs w:val="24"/>
        </w:rPr>
        <w:t xml:space="preserve">The </w:t>
      </w:r>
      <w:r w:rsidRPr="00A856EB">
        <w:rPr>
          <w:rFonts w:ascii="Times New Roman" w:hAnsi="Times New Roman" w:cs="Times New Roman"/>
          <w:sz w:val="24"/>
          <w:szCs w:val="24"/>
        </w:rPr>
        <w:t>second group of control samples</w:t>
      </w:r>
      <w:r w:rsidR="00A856EB" w:rsidRPr="00A856EB">
        <w:rPr>
          <w:rFonts w:ascii="Times New Roman" w:hAnsi="Times New Roman" w:cs="Times New Roman"/>
          <w:sz w:val="24"/>
          <w:szCs w:val="24"/>
        </w:rPr>
        <w:t>,</w:t>
      </w:r>
      <w:r w:rsidRPr="00A856EB">
        <w:rPr>
          <w:rFonts w:ascii="Times New Roman" w:hAnsi="Times New Roman" w:cs="Times New Roman"/>
          <w:sz w:val="24"/>
          <w:szCs w:val="24"/>
        </w:rPr>
        <w:t xml:space="preserve"> formed under different environmental conditions</w:t>
      </w:r>
      <w:r w:rsidR="00A856EB" w:rsidRPr="00A856EB">
        <w:rPr>
          <w:rFonts w:ascii="Times New Roman" w:hAnsi="Times New Roman" w:cs="Times New Roman"/>
          <w:sz w:val="24"/>
          <w:szCs w:val="24"/>
        </w:rPr>
        <w:t>, include</w:t>
      </w:r>
      <w:r w:rsidR="000C34B6">
        <w:rPr>
          <w:rFonts w:ascii="Times New Roman" w:hAnsi="Times New Roman" w:cs="Times New Roman"/>
          <w:sz w:val="24"/>
          <w:szCs w:val="24"/>
        </w:rPr>
        <w:t>d</w:t>
      </w:r>
      <w:r w:rsidR="00A856EB" w:rsidRPr="00A856EB">
        <w:rPr>
          <w:rFonts w:ascii="Times New Roman" w:hAnsi="Times New Roman" w:cs="Times New Roman"/>
          <w:sz w:val="24"/>
          <w:szCs w:val="24"/>
        </w:rPr>
        <w:t xml:space="preserve"> Chernozem and Elliot Soil</w:t>
      </w:r>
      <w:r w:rsidRPr="00A856EB">
        <w:rPr>
          <w:rFonts w:ascii="Times New Roman" w:hAnsi="Times New Roman" w:cs="Times New Roman"/>
          <w:sz w:val="24"/>
          <w:szCs w:val="24"/>
        </w:rPr>
        <w:t>.</w:t>
      </w:r>
      <w:r>
        <w:rPr>
          <w:rFonts w:ascii="Times New Roman" w:hAnsi="Times New Roman" w:cs="Times New Roman"/>
          <w:sz w:val="24"/>
          <w:szCs w:val="24"/>
        </w:rPr>
        <w:t xml:space="preserve"> </w:t>
      </w:r>
      <w:r w:rsidR="00093793" w:rsidRPr="00093793">
        <w:rPr>
          <w:rFonts w:ascii="Times New Roman" w:hAnsi="Times New Roman" w:cs="Times New Roman"/>
          <w:sz w:val="24"/>
          <w:szCs w:val="24"/>
        </w:rPr>
        <w:t>Chernozem was alkaline clay loam with 1.89% soil organic C. Elliott Soil is silt loam, silty clay loam or loam, moderately acid to neutral.</w:t>
      </w:r>
    </w:p>
    <w:p w:rsidR="00093793" w:rsidRDefault="00093793" w:rsidP="00CE02E4">
      <w:pPr>
        <w:spacing w:after="0" w:line="360" w:lineRule="auto"/>
      </w:pPr>
    </w:p>
    <w:p w:rsidR="00B963BF" w:rsidRPr="003B32A7" w:rsidRDefault="00B963BF" w:rsidP="00CE02E4">
      <w:pPr>
        <w:spacing w:after="0" w:line="360" w:lineRule="auto"/>
        <w:jc w:val="center"/>
        <w:rPr>
          <w:rFonts w:ascii="Times New Roman" w:hAnsi="Times New Roman" w:cs="Times New Roman"/>
          <w:bCs/>
          <w:caps/>
          <w:color w:val="000000"/>
          <w:sz w:val="24"/>
          <w:szCs w:val="24"/>
        </w:rPr>
      </w:pPr>
      <w:r w:rsidRPr="003B32A7">
        <w:rPr>
          <w:rFonts w:ascii="Times New Roman" w:hAnsi="Times New Roman" w:cs="Times New Roman"/>
          <w:bCs/>
          <w:caps/>
          <w:color w:val="000000"/>
          <w:sz w:val="24"/>
          <w:szCs w:val="24"/>
        </w:rPr>
        <w:t>Results and discussion</w:t>
      </w:r>
    </w:p>
    <w:p w:rsidR="00093793" w:rsidRDefault="00093793" w:rsidP="00CE02E4">
      <w:pPr>
        <w:spacing w:after="0" w:line="360" w:lineRule="auto"/>
      </w:pPr>
    </w:p>
    <w:p w:rsidR="007D5E99" w:rsidRDefault="007D5E99" w:rsidP="007D5E99">
      <w:pPr>
        <w:jc w:val="center"/>
      </w:pPr>
      <w:r>
        <w:rPr>
          <w:noProof/>
        </w:rPr>
        <w:drawing>
          <wp:inline distT="0" distB="0" distL="0" distR="0">
            <wp:extent cx="1405890" cy="1487805"/>
            <wp:effectExtent l="19050" t="0" r="3810" b="0"/>
            <wp:docPr id="3" name="Picture 2" descr="D:\Podaci\RADOVI\Tehnosoli\Huminske kiseline\XXXXXX\Supplementary Material Fig.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daci\RADOVI\Tehnosoli\Huminske kiseline\XXXXXX\Supplementary Material Fig. S-2.tif"/>
                    <pic:cNvPicPr>
                      <a:picLocks noChangeAspect="1" noChangeArrowheads="1"/>
                    </pic:cNvPicPr>
                  </pic:nvPicPr>
                  <pic:blipFill>
                    <a:blip r:embed="rId6" cstate="print"/>
                    <a:srcRect/>
                    <a:stretch>
                      <a:fillRect/>
                    </a:stretch>
                  </pic:blipFill>
                  <pic:spPr bwMode="auto">
                    <a:xfrm>
                      <a:off x="0" y="0"/>
                      <a:ext cx="1405890" cy="1487805"/>
                    </a:xfrm>
                    <a:prstGeom prst="rect">
                      <a:avLst/>
                    </a:prstGeom>
                    <a:noFill/>
                    <a:ln w="9525">
                      <a:noFill/>
                      <a:miter lim="800000"/>
                      <a:headEnd/>
                      <a:tailEnd/>
                    </a:ln>
                  </pic:spPr>
                </pic:pic>
              </a:graphicData>
            </a:graphic>
          </wp:inline>
        </w:drawing>
      </w:r>
    </w:p>
    <w:p w:rsidR="007D5E99" w:rsidRPr="007D5E99" w:rsidRDefault="007D5E99" w:rsidP="006A0511">
      <w:pPr>
        <w:spacing w:after="0" w:line="360" w:lineRule="auto"/>
        <w:jc w:val="center"/>
        <w:rPr>
          <w:rFonts w:ascii="Times New Roman" w:hAnsi="Times New Roman" w:cs="Times New Roman"/>
        </w:rPr>
      </w:pPr>
      <w:r w:rsidRPr="007D5E99">
        <w:rPr>
          <w:rFonts w:ascii="Times New Roman" w:hAnsi="Times New Roman" w:cs="Times New Roman"/>
        </w:rPr>
        <w:t>Fig. S-2. PCA score plots of HAs from Technosols (TC1-6) and control natural soils:</w:t>
      </w:r>
      <w:r w:rsidR="006A0511">
        <w:rPr>
          <w:rFonts w:ascii="Times New Roman" w:hAnsi="Times New Roman" w:cs="Times New Roman"/>
        </w:rPr>
        <w:t xml:space="preserve"> </w:t>
      </w:r>
      <w:r w:rsidRPr="007D5E99">
        <w:rPr>
          <w:rFonts w:ascii="Times New Roman" w:hAnsi="Times New Roman" w:cs="Times New Roman"/>
        </w:rPr>
        <w:t xml:space="preserve">arable soils near </w:t>
      </w:r>
      <w:r w:rsidR="00A856EB">
        <w:rPr>
          <w:rFonts w:ascii="Times New Roman" w:hAnsi="Times New Roman" w:cs="Times New Roman"/>
        </w:rPr>
        <w:t xml:space="preserve">the </w:t>
      </w:r>
      <w:r w:rsidR="00A856EB" w:rsidRPr="00A856EB">
        <w:rPr>
          <w:rFonts w:ascii="Times New Roman" w:hAnsi="Times New Roman" w:cs="Times New Roman"/>
        </w:rPr>
        <w:t>city</w:t>
      </w:r>
      <w:r w:rsidR="00A856EB" w:rsidRPr="007D5E99">
        <w:rPr>
          <w:rFonts w:ascii="Times New Roman" w:hAnsi="Times New Roman" w:cs="Times New Roman"/>
        </w:rPr>
        <w:t xml:space="preserve"> </w:t>
      </w:r>
      <w:r w:rsidR="00A856EB">
        <w:rPr>
          <w:rFonts w:ascii="Times New Roman" w:hAnsi="Times New Roman" w:cs="Times New Roman"/>
        </w:rPr>
        <w:t xml:space="preserve">of </w:t>
      </w:r>
      <w:r w:rsidRPr="007D5E99">
        <w:rPr>
          <w:rFonts w:ascii="Times New Roman" w:hAnsi="Times New Roman" w:cs="Times New Roman"/>
        </w:rPr>
        <w:t>Bor (CB7-9), Chernozem (CCH) and standard Elliot Soil (CES).</w:t>
      </w:r>
    </w:p>
    <w:p w:rsidR="007D5E99" w:rsidRDefault="007D5E99" w:rsidP="007D5E99">
      <w:pPr>
        <w:rPr>
          <w:rFonts w:ascii="Times New Roman" w:hAnsi="Times New Roman" w:cs="Times New Roman"/>
        </w:rPr>
      </w:pPr>
    </w:p>
    <w:p w:rsidR="007D5E99" w:rsidRPr="007D5E99" w:rsidRDefault="007D5E99" w:rsidP="007D5E99">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1405890" cy="1473835"/>
            <wp:effectExtent l="19050" t="0" r="3810" b="0"/>
            <wp:docPr id="4" name="Picture 3" descr="D:\Podaci\RADOVI\Tehnosoli\Huminske kiseline\XXXXXX\Supplementary Material Fig. 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odaci\RADOVI\Tehnosoli\Huminske kiseline\XXXXXX\Supplementary Material Fig. S-3.tif"/>
                    <pic:cNvPicPr>
                      <a:picLocks noChangeAspect="1" noChangeArrowheads="1"/>
                    </pic:cNvPicPr>
                  </pic:nvPicPr>
                  <pic:blipFill>
                    <a:blip r:embed="rId7" cstate="print"/>
                    <a:srcRect/>
                    <a:stretch>
                      <a:fillRect/>
                    </a:stretch>
                  </pic:blipFill>
                  <pic:spPr bwMode="auto">
                    <a:xfrm>
                      <a:off x="0" y="0"/>
                      <a:ext cx="1405890" cy="1473835"/>
                    </a:xfrm>
                    <a:prstGeom prst="rect">
                      <a:avLst/>
                    </a:prstGeom>
                    <a:noFill/>
                    <a:ln w="9525">
                      <a:noFill/>
                      <a:miter lim="800000"/>
                      <a:headEnd/>
                      <a:tailEnd/>
                    </a:ln>
                  </pic:spPr>
                </pic:pic>
              </a:graphicData>
            </a:graphic>
          </wp:inline>
        </w:drawing>
      </w:r>
    </w:p>
    <w:p w:rsidR="007D5E99" w:rsidRPr="007D5E99" w:rsidRDefault="007D5E99" w:rsidP="007D5E99">
      <w:pPr>
        <w:spacing w:after="0" w:line="360" w:lineRule="auto"/>
        <w:jc w:val="center"/>
        <w:rPr>
          <w:rFonts w:ascii="Times New Roman" w:hAnsi="Times New Roman" w:cs="Times New Roman"/>
        </w:rPr>
      </w:pPr>
      <w:r w:rsidRPr="007D5E99">
        <w:rPr>
          <w:rFonts w:ascii="Times New Roman" w:hAnsi="Times New Roman" w:cs="Times New Roman"/>
        </w:rPr>
        <w:t xml:space="preserve">Fig. S-3. PCA score plots of HAs from Technosols (TC1-6) and control arable soils near </w:t>
      </w:r>
      <w:r w:rsidR="00A856EB">
        <w:rPr>
          <w:rFonts w:ascii="Times New Roman" w:hAnsi="Times New Roman" w:cs="Times New Roman"/>
        </w:rPr>
        <w:t xml:space="preserve">the city of </w:t>
      </w:r>
      <w:r w:rsidRPr="007D5E99">
        <w:rPr>
          <w:rFonts w:ascii="Times New Roman" w:hAnsi="Times New Roman" w:cs="Times New Roman"/>
        </w:rPr>
        <w:t>Bor (CB7-9).</w:t>
      </w:r>
    </w:p>
    <w:p w:rsidR="007D5E99" w:rsidRDefault="007D5E99" w:rsidP="007D5E99">
      <w:pPr>
        <w:spacing w:after="0" w:line="360" w:lineRule="auto"/>
        <w:jc w:val="center"/>
      </w:pPr>
    </w:p>
    <w:p w:rsidR="007D5E99" w:rsidRPr="007D5E99" w:rsidRDefault="007D5E99" w:rsidP="007D5E99">
      <w:pPr>
        <w:spacing w:after="0" w:line="360" w:lineRule="auto"/>
        <w:jc w:val="center"/>
      </w:pPr>
      <w:r>
        <w:rPr>
          <w:noProof/>
        </w:rPr>
        <w:drawing>
          <wp:inline distT="0" distB="0" distL="0" distR="0">
            <wp:extent cx="1405890" cy="1480820"/>
            <wp:effectExtent l="19050" t="0" r="3810" b="0"/>
            <wp:docPr id="5" name="Picture 4" descr="D:\Podaci\RADOVI\Tehnosoli\Huminske kiseline\XXXXXX\Supplementary Material Fig. 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odaci\RADOVI\Tehnosoli\Huminske kiseline\XXXXXX\Supplementary Material Fig. S-4.tif"/>
                    <pic:cNvPicPr>
                      <a:picLocks noChangeAspect="1" noChangeArrowheads="1"/>
                    </pic:cNvPicPr>
                  </pic:nvPicPr>
                  <pic:blipFill>
                    <a:blip r:embed="rId8" cstate="print"/>
                    <a:srcRect/>
                    <a:stretch>
                      <a:fillRect/>
                    </a:stretch>
                  </pic:blipFill>
                  <pic:spPr bwMode="auto">
                    <a:xfrm>
                      <a:off x="0" y="0"/>
                      <a:ext cx="1405890" cy="1480820"/>
                    </a:xfrm>
                    <a:prstGeom prst="rect">
                      <a:avLst/>
                    </a:prstGeom>
                    <a:noFill/>
                    <a:ln w="9525">
                      <a:noFill/>
                      <a:miter lim="800000"/>
                      <a:headEnd/>
                      <a:tailEnd/>
                    </a:ln>
                  </pic:spPr>
                </pic:pic>
              </a:graphicData>
            </a:graphic>
          </wp:inline>
        </w:drawing>
      </w:r>
    </w:p>
    <w:p w:rsidR="007D5E99" w:rsidRPr="007D5E99" w:rsidRDefault="007D5E99" w:rsidP="007D5E99">
      <w:pPr>
        <w:spacing w:after="0" w:line="360" w:lineRule="auto"/>
        <w:jc w:val="center"/>
      </w:pPr>
      <w:r w:rsidRPr="007D5E99">
        <w:rPr>
          <w:rFonts w:ascii="Times New Roman" w:hAnsi="Times New Roman" w:cs="Times New Roman"/>
        </w:rPr>
        <w:t>Fig. S-4. PCA score plots of HAs from Technosols (TC1-6).</w:t>
      </w:r>
    </w:p>
    <w:p w:rsidR="00B217C8" w:rsidRDefault="00B217C8"/>
    <w:sectPr w:rsidR="00B217C8" w:rsidSect="002A444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2E5355"/>
    <w:rsid w:val="00093793"/>
    <w:rsid w:val="000C34B6"/>
    <w:rsid w:val="0016570A"/>
    <w:rsid w:val="002A4445"/>
    <w:rsid w:val="002E5355"/>
    <w:rsid w:val="00333901"/>
    <w:rsid w:val="00524080"/>
    <w:rsid w:val="00590EEF"/>
    <w:rsid w:val="00640C3E"/>
    <w:rsid w:val="006A0511"/>
    <w:rsid w:val="0076087E"/>
    <w:rsid w:val="007D5E99"/>
    <w:rsid w:val="0091282C"/>
    <w:rsid w:val="00A856EB"/>
    <w:rsid w:val="00AA1E67"/>
    <w:rsid w:val="00B217C8"/>
    <w:rsid w:val="00B65F77"/>
    <w:rsid w:val="00B963BF"/>
    <w:rsid w:val="00C97572"/>
    <w:rsid w:val="00CD5765"/>
    <w:rsid w:val="00CE02E4"/>
    <w:rsid w:val="00D82923"/>
    <w:rsid w:val="00DA5042"/>
    <w:rsid w:val="00FD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55"/>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0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EE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590EEF"/>
    <w:rPr>
      <w:vertAlign w:val="superscript"/>
    </w:rPr>
  </w:style>
  <w:style w:type="paragraph" w:styleId="BalloonText">
    <w:name w:val="Balloon Text"/>
    <w:basedOn w:val="Normal"/>
    <w:link w:val="BalloonTextChar"/>
    <w:uiPriority w:val="99"/>
    <w:semiHidden/>
    <w:unhideWhenUsed/>
    <w:rsid w:val="007D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9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96C8B-D9BE-453F-BF3E-EDE8F17D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2019-07-17T09:04:00Z</dcterms:created>
  <dcterms:modified xsi:type="dcterms:W3CDTF">2019-10-17T10:15:00Z</dcterms:modified>
</cp:coreProperties>
</file>