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39" w:type="dxa"/>
        <w:tblLook w:val="04A0"/>
      </w:tblPr>
      <w:tblGrid>
        <w:gridCol w:w="4644"/>
        <w:gridCol w:w="4395"/>
      </w:tblGrid>
      <w:tr w:rsidR="00B946C2" w:rsidRPr="007A0AF5" w:rsidTr="00210AFE">
        <w:tc>
          <w:tcPr>
            <w:tcW w:w="4644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Reviewers' comments</w:t>
            </w:r>
          </w:p>
        </w:tc>
        <w:tc>
          <w:tcPr>
            <w:tcW w:w="4395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Authors' response to reviewers' comments</w:t>
            </w:r>
          </w:p>
        </w:tc>
      </w:tr>
      <w:tr w:rsidR="00B946C2" w:rsidRPr="007A0AF5" w:rsidTr="00210AFE">
        <w:tc>
          <w:tcPr>
            <w:tcW w:w="4644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[1] Page 2, line 43. Is: "(...) for 32CA reactions."</w:t>
            </w:r>
            <w:r w:rsidRPr="007A0AF5">
              <w:rPr>
                <w:rFonts w:ascii="Times New Roman" w:hAnsi="Times New Roman" w:cs="Times New Roman"/>
                <w:color w:val="222222"/>
              </w:rPr>
              <w:br/>
              <w:t xml:space="preserve">I suggest to: "(...) for 32CA reactions as well as other processes, for which one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step,"pericyclic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>" mechanism has been earlier postulated, such as Diels-Alder reaction [Chemistry Select 2017, 2, 9736; Molecules 2018, 23, 1913], thermal elimination reactions [Theoretical Chemistry Accounts, 136, 129 (2017); Theoretical Chemistry Accounts, 138, 81 (2019)], [3.3]-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sigmatropic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shifts [Molecules, 24, 462 (2019)] and many other."</w:t>
            </w:r>
          </w:p>
        </w:tc>
        <w:tc>
          <w:tcPr>
            <w:tcW w:w="4395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 xml:space="preserve">Page 2, line 43 has been changed as suggested. Five references Ref. 7-11 have been inserted in the revised version as suggested </w:t>
            </w: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Ref. 7: Chemistry Select 2017, 2, 9736</w:t>
            </w: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 xml:space="preserve">Ref. 8: Molecules 2018, 23, 1913 </w:t>
            </w: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Ref. 9: Theoretical Chemistry Accounts, 136, 129 (2017)</w:t>
            </w: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Ref.10: Theoretical Chemistry Accounts, 138, 81 (2019)</w:t>
            </w: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Ref. 11: Molecules, 24, 462 (2019)</w:t>
            </w:r>
          </w:p>
        </w:tc>
      </w:tr>
      <w:tr w:rsidR="00B946C2" w:rsidRPr="007A0AF5" w:rsidTr="00210AFE">
        <w:tc>
          <w:tcPr>
            <w:tcW w:w="4644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 xml:space="preserve">[2] Probably, in the case of all considered paths, pre-reaction molecular complexes are formed in the first reaction stage, before the formation of TS. These type of molecular complexes have only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enthalpic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nature and has been</w:t>
            </w:r>
            <w:r w:rsidRPr="007A0AF5">
              <w:rPr>
                <w:rFonts w:ascii="Times New Roman" w:hAnsi="Times New Roman" w:cs="Times New Roman"/>
                <w:color w:val="222222"/>
              </w:rPr>
              <w:br/>
              <w:t xml:space="preserve">recently detected for many 32CAs involving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dibubstituted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br/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nitrones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[Journal of Molecular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Modeling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>, 24, 329 (2018); Computational and Theoretical Chemistry, 1125, 77-85 (2018); Tetrahedron Letters, 56, 532-535 (2015)].</w:t>
            </w:r>
          </w:p>
        </w:tc>
        <w:tc>
          <w:tcPr>
            <w:tcW w:w="4395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 xml:space="preserve">In case of all four paths, pre-reaction molecular complexes were formed in the first reaction stage with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enthalpic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nature. This </w:t>
            </w:r>
            <w:r>
              <w:rPr>
                <w:rFonts w:ascii="Times New Roman" w:hAnsi="Times New Roman" w:cs="Times New Roman"/>
                <w:color w:val="222222"/>
              </w:rPr>
              <w:t xml:space="preserve">has </w:t>
            </w:r>
            <w:r w:rsidRPr="007A0AF5">
              <w:rPr>
                <w:rFonts w:ascii="Times New Roman" w:hAnsi="Times New Roman" w:cs="Times New Roman"/>
                <w:color w:val="222222"/>
              </w:rPr>
              <w:t>been mentioned in Page 6</w:t>
            </w:r>
            <w:r>
              <w:rPr>
                <w:rFonts w:ascii="Times New Roman" w:hAnsi="Times New Roman" w:cs="Times New Roman"/>
                <w:color w:val="222222"/>
              </w:rPr>
              <w:t xml:space="preserve"> and represented in Fig. 3</w:t>
            </w:r>
            <w:r w:rsidRPr="007A0AF5">
              <w:rPr>
                <w:rFonts w:ascii="Times New Roman" w:hAnsi="Times New Roman" w:cs="Times New Roman"/>
                <w:color w:val="222222"/>
              </w:rPr>
              <w:t xml:space="preserve">. Three references (Ref. 42-44) as suggested have been cited in this context. </w:t>
            </w: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Ref. 42: Journal of Molecular Model</w:t>
            </w:r>
            <w:r>
              <w:rPr>
                <w:rFonts w:ascii="Times New Roman" w:hAnsi="Times New Roman" w:cs="Times New Roman"/>
                <w:color w:val="222222"/>
              </w:rPr>
              <w:t>l</w:t>
            </w:r>
            <w:r w:rsidRPr="007A0AF5">
              <w:rPr>
                <w:rFonts w:ascii="Times New Roman" w:hAnsi="Times New Roman" w:cs="Times New Roman"/>
                <w:color w:val="222222"/>
              </w:rPr>
              <w:t>ing, 24, 329 (2018)</w:t>
            </w: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Ref: 43: Computational and Theoretical Chemistry, 1125, 77-85 (2018)</w:t>
            </w: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Ref: 44: Tetrahedron Letters, 56, 532-535 (2015)</w:t>
            </w:r>
          </w:p>
        </w:tc>
      </w:tr>
      <w:tr w:rsidR="00B946C2" w:rsidRPr="007A0AF5" w:rsidTr="00210AFE">
        <w:trPr>
          <w:trHeight w:val="4230"/>
        </w:trPr>
        <w:tc>
          <w:tcPr>
            <w:tcW w:w="4644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 xml:space="preserve">[3] Page 6.Obtained parameters of activation suggest clearly, that considered process should be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regio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- and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stereoselective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but not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regio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- and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stereospecific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. Independently of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CAox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formation, other channels should be formally treatment</w:t>
            </w:r>
            <w:r w:rsidRPr="007A0AF5">
              <w:rPr>
                <w:rFonts w:ascii="Times New Roman" w:hAnsi="Times New Roman" w:cs="Times New Roman"/>
                <w:color w:val="222222"/>
              </w:rPr>
              <w:br/>
              <w:t>as not forbidden from kinetic point of view. This should be commented in the text.</w:t>
            </w: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 xml:space="preserve">Next, full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regio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- and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stereoselective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32CA is possible only in the case of strong EWG-activation of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ethhylene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derivative as well as with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unequivalent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screening of reaction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centers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in the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nitrone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molecule. These type, full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regio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- and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stereoselective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cases of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nitrone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32CAs has been recently detected on the experimental way [Journal of Heterocyclic Chemistry, 54, 3314-3320 (2017); Journal of Heterocyclic Chemistry, 53, 1424-1429 (2016)].</w:t>
            </w:r>
          </w:p>
        </w:tc>
        <w:tc>
          <w:tcPr>
            <w:tcW w:w="4395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 xml:space="preserve">This statement has been commented in the text in Page 7 as suggested and the examples of full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regio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- and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stereoselective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cases of </w:t>
            </w:r>
            <w:proofErr w:type="spellStart"/>
            <w:r w:rsidRPr="007A0AF5">
              <w:rPr>
                <w:rFonts w:ascii="Times New Roman" w:hAnsi="Times New Roman" w:cs="Times New Roman"/>
                <w:color w:val="222222"/>
              </w:rPr>
              <w:t>nitrone</w:t>
            </w:r>
            <w:proofErr w:type="spellEnd"/>
            <w:r w:rsidRPr="007A0AF5">
              <w:rPr>
                <w:rFonts w:ascii="Times New Roman" w:hAnsi="Times New Roman" w:cs="Times New Roman"/>
                <w:color w:val="222222"/>
              </w:rPr>
              <w:t xml:space="preserve"> 32CAs have been cited as Ref. 45 and Ref. 46.</w:t>
            </w: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Ref. 45: Journal of Heterocyclic Chemistry, 54, 3314-3320 (2017)</w:t>
            </w:r>
          </w:p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Ref. 46: Journal of Heterocyclic Chemistry, 53, 1424-1429 (2016)</w:t>
            </w:r>
          </w:p>
        </w:tc>
      </w:tr>
      <w:tr w:rsidR="00B946C2" w:rsidRPr="007A0AF5" w:rsidTr="00210AFE">
        <w:tc>
          <w:tcPr>
            <w:tcW w:w="4644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[4] Page 6 The kinetic preferences of considered reaction paths should be discussed on the basis of DG values.</w:t>
            </w:r>
          </w:p>
        </w:tc>
        <w:tc>
          <w:tcPr>
            <w:tcW w:w="4395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∆G</w:t>
            </w:r>
            <w:r>
              <w:rPr>
                <w:rFonts w:ascii="Times New Roman" w:hAnsi="Times New Roman" w:cs="Times New Roman"/>
                <w:color w:val="222222"/>
              </w:rPr>
              <w:t xml:space="preserve"> and ∆H</w:t>
            </w:r>
            <w:r w:rsidRPr="007A0AF5">
              <w:rPr>
                <w:rFonts w:ascii="Times New Roman" w:hAnsi="Times New Roman" w:cs="Times New Roman"/>
                <w:color w:val="222222"/>
              </w:rPr>
              <w:t xml:space="preserve"> values of the reaction paths discussed in Page 7</w:t>
            </w:r>
            <w:r>
              <w:rPr>
                <w:rFonts w:ascii="Times New Roman" w:hAnsi="Times New Roman" w:cs="Times New Roman"/>
                <w:color w:val="222222"/>
              </w:rPr>
              <w:t xml:space="preserve"> and listed in Table 2.</w:t>
            </w:r>
          </w:p>
        </w:tc>
      </w:tr>
      <w:tr w:rsidR="00B946C2" w:rsidRPr="007A0AF5" w:rsidTr="00210AFE">
        <w:tc>
          <w:tcPr>
            <w:tcW w:w="4644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 w:rsidRPr="007A0AF5">
              <w:rPr>
                <w:rFonts w:ascii="Times New Roman" w:hAnsi="Times New Roman" w:cs="Times New Roman"/>
                <w:color w:val="222222"/>
              </w:rPr>
              <w:t>[5] Page 6. The full complete of parameters of the activation (DE, DH, DS, DG) should be collected in the separate table.</w:t>
            </w:r>
          </w:p>
        </w:tc>
        <w:tc>
          <w:tcPr>
            <w:tcW w:w="4395" w:type="dxa"/>
          </w:tcPr>
          <w:p w:rsidR="00B946C2" w:rsidRPr="007A0AF5" w:rsidRDefault="00B946C2" w:rsidP="00210AFE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∆E, ∆H, ∆S and ∆G values have been collected in a separate table (Table 2) and explained in Page 7.</w:t>
            </w:r>
          </w:p>
        </w:tc>
      </w:tr>
    </w:tbl>
    <w:p w:rsidR="00B946C2" w:rsidRPr="00EE258F" w:rsidRDefault="002F5EF3" w:rsidP="00B946C2">
      <w:pPr>
        <w:shd w:val="clear" w:color="auto" w:fill="FFFFFF"/>
        <w:jc w:val="both"/>
        <w:rPr>
          <w:rFonts w:ascii="Times New Roman" w:hAnsi="Times New Roman" w:cs="Times New Roman"/>
        </w:rPr>
      </w:pPr>
      <w:r w:rsidRPr="00EE258F">
        <w:rPr>
          <w:rFonts w:ascii="Arial" w:hAnsi="Arial" w:cs="Arial"/>
        </w:rPr>
        <w:br/>
      </w:r>
      <w:r w:rsidR="00B946C2" w:rsidRPr="00EE258F">
        <w:rPr>
          <w:rFonts w:ascii="Times New Roman" w:hAnsi="Times New Roman" w:cs="Times New Roman"/>
        </w:rPr>
        <w:t xml:space="preserve">In response to the reviewers' comments, data for thermodynamic parameters (∆E, ∆H, ∆G and ∆S) in gas phase as well as toluene have been provided </w:t>
      </w:r>
      <w:r w:rsidR="005D477D">
        <w:rPr>
          <w:rFonts w:ascii="Times New Roman" w:hAnsi="Times New Roman" w:cs="Times New Roman"/>
        </w:rPr>
        <w:t xml:space="preserve">and discussed </w:t>
      </w:r>
      <w:r w:rsidR="00B946C2" w:rsidRPr="00EE258F">
        <w:rPr>
          <w:rFonts w:ascii="Times New Roman" w:hAnsi="Times New Roman" w:cs="Times New Roman"/>
        </w:rPr>
        <w:t>in the revised manuscript. Ten additional references have been includ</w:t>
      </w:r>
      <w:r w:rsidR="00346F92">
        <w:rPr>
          <w:rFonts w:ascii="Times New Roman" w:hAnsi="Times New Roman" w:cs="Times New Roman"/>
        </w:rPr>
        <w:t>ed as suggested by the reviewer to ensure appropriate credit to the related recent publications.</w:t>
      </w:r>
    </w:p>
    <w:p w:rsidR="002F5EF3" w:rsidRDefault="002F5EF3" w:rsidP="002F5EF3">
      <w:pPr>
        <w:shd w:val="clear" w:color="auto" w:fill="FFFFFF"/>
        <w:rPr>
          <w:rFonts w:ascii="Arial" w:hAnsi="Arial" w:cs="Arial"/>
          <w:color w:val="222222"/>
        </w:rPr>
      </w:pPr>
    </w:p>
    <w:p w:rsidR="00EA73C6" w:rsidRDefault="00EA73C6"/>
    <w:sectPr w:rsidR="00EA73C6" w:rsidSect="00EA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2F5EF3"/>
    <w:rsid w:val="0005494A"/>
    <w:rsid w:val="0012019D"/>
    <w:rsid w:val="001479B5"/>
    <w:rsid w:val="001B757A"/>
    <w:rsid w:val="001F5F39"/>
    <w:rsid w:val="002F5EF3"/>
    <w:rsid w:val="00346F92"/>
    <w:rsid w:val="0046767D"/>
    <w:rsid w:val="004973DC"/>
    <w:rsid w:val="005D477D"/>
    <w:rsid w:val="006463B9"/>
    <w:rsid w:val="0072549B"/>
    <w:rsid w:val="0077095C"/>
    <w:rsid w:val="007A0AF5"/>
    <w:rsid w:val="007E67D2"/>
    <w:rsid w:val="00822D85"/>
    <w:rsid w:val="00877A27"/>
    <w:rsid w:val="008A2E6F"/>
    <w:rsid w:val="00911E9F"/>
    <w:rsid w:val="009938F7"/>
    <w:rsid w:val="00B15A4F"/>
    <w:rsid w:val="00B40624"/>
    <w:rsid w:val="00B946C2"/>
    <w:rsid w:val="00BF29E8"/>
    <w:rsid w:val="00BF6A84"/>
    <w:rsid w:val="00C15F8F"/>
    <w:rsid w:val="00C961A1"/>
    <w:rsid w:val="00CB5AA8"/>
    <w:rsid w:val="00D154C8"/>
    <w:rsid w:val="00D212D1"/>
    <w:rsid w:val="00E12981"/>
    <w:rsid w:val="00EA73C6"/>
    <w:rsid w:val="00EC7B2A"/>
    <w:rsid w:val="00EE258F"/>
    <w:rsid w:val="00F1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EF3"/>
    <w:rPr>
      <w:color w:val="0000FF"/>
      <w:u w:val="single"/>
    </w:rPr>
  </w:style>
  <w:style w:type="character" w:customStyle="1" w:styleId="ams">
    <w:name w:val="ams"/>
    <w:basedOn w:val="DefaultParagraphFont"/>
    <w:rsid w:val="002F5EF3"/>
  </w:style>
  <w:style w:type="paragraph" w:styleId="BalloonText">
    <w:name w:val="Balloon Text"/>
    <w:basedOn w:val="Normal"/>
    <w:link w:val="BalloonTextChar"/>
    <w:uiPriority w:val="99"/>
    <w:semiHidden/>
    <w:unhideWhenUsed/>
    <w:rsid w:val="002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90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2019-10-16T13:35:00Z</dcterms:created>
  <dcterms:modified xsi:type="dcterms:W3CDTF">2019-11-19T14:41:00Z</dcterms:modified>
</cp:coreProperties>
</file>