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" ContentType="image/tif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341FE" w14:textId="77777777" w:rsidR="00501847" w:rsidRPr="00F8380D" w:rsidRDefault="001E7706" w:rsidP="00BF24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F8380D">
        <w:rPr>
          <w:rFonts w:ascii="Times New Roman" w:hAnsi="Times New Roman"/>
          <w:b/>
          <w:bCs/>
          <w:sz w:val="24"/>
          <w:szCs w:val="24"/>
          <w:lang w:val="en-GB"/>
        </w:rPr>
        <w:t>Adsorption-desorption behavi</w:t>
      </w:r>
      <w:r w:rsidR="00FC2A2B" w:rsidRPr="00F8380D">
        <w:rPr>
          <w:rFonts w:ascii="Times New Roman" w:hAnsi="Times New Roman"/>
          <w:b/>
          <w:bCs/>
          <w:sz w:val="24"/>
          <w:szCs w:val="24"/>
          <w:lang w:val="en-GB"/>
        </w:rPr>
        <w:t>o</w:t>
      </w:r>
      <w:r w:rsidR="00F8380D" w:rsidRPr="00F8380D">
        <w:rPr>
          <w:rFonts w:ascii="Times New Roman" w:hAnsi="Times New Roman"/>
          <w:b/>
          <w:bCs/>
          <w:sz w:val="24"/>
          <w:szCs w:val="24"/>
          <w:lang w:val="en-GB"/>
        </w:rPr>
        <w:t>u</w:t>
      </w:r>
      <w:r w:rsidR="00FC2A2B" w:rsidRPr="00F8380D">
        <w:rPr>
          <w:rFonts w:ascii="Times New Roman" w:hAnsi="Times New Roman"/>
          <w:b/>
          <w:bCs/>
          <w:sz w:val="24"/>
          <w:szCs w:val="24"/>
          <w:lang w:val="en-GB"/>
        </w:rPr>
        <w:t xml:space="preserve">r of clomazone in </w:t>
      </w:r>
      <w:r w:rsidR="00742F8C" w:rsidRPr="00F8380D">
        <w:rPr>
          <w:rFonts w:ascii="Times New Roman" w:hAnsi="Times New Roman"/>
          <w:b/>
          <w:bCs/>
          <w:sz w:val="24"/>
          <w:szCs w:val="24"/>
          <w:lang w:val="en-GB"/>
        </w:rPr>
        <w:t xml:space="preserve">Regosol and Chernozem </w:t>
      </w:r>
      <w:r w:rsidR="00FC2A2B" w:rsidRPr="00F8380D">
        <w:rPr>
          <w:rFonts w:ascii="Times New Roman" w:hAnsi="Times New Roman"/>
          <w:b/>
          <w:bCs/>
          <w:sz w:val="24"/>
          <w:szCs w:val="24"/>
          <w:lang w:val="en-GB"/>
        </w:rPr>
        <w:t xml:space="preserve">agricultural </w:t>
      </w:r>
      <w:r w:rsidRPr="00F8380D">
        <w:rPr>
          <w:rFonts w:ascii="Times New Roman" w:hAnsi="Times New Roman"/>
          <w:b/>
          <w:bCs/>
          <w:sz w:val="24"/>
          <w:szCs w:val="24"/>
          <w:lang w:val="en-GB"/>
        </w:rPr>
        <w:t>soil</w:t>
      </w:r>
      <w:r w:rsidR="00742F8C" w:rsidRPr="00F8380D">
        <w:rPr>
          <w:rFonts w:ascii="Times New Roman" w:hAnsi="Times New Roman"/>
          <w:b/>
          <w:bCs/>
          <w:sz w:val="24"/>
          <w:szCs w:val="24"/>
          <w:lang w:val="en-GB"/>
        </w:rPr>
        <w:t>s</w:t>
      </w:r>
    </w:p>
    <w:p w14:paraId="4AB7A4EF" w14:textId="77777777" w:rsidR="00501847" w:rsidRPr="00F8380D" w:rsidRDefault="003C0403" w:rsidP="00BF24A8">
      <w:pPr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  <w:lang w:val="en-GB"/>
        </w:rPr>
      </w:pPr>
      <w:r w:rsidRPr="00F8380D">
        <w:rPr>
          <w:rFonts w:ascii="Times New Roman" w:hAnsi="Times New Roman"/>
          <w:bCs/>
          <w:sz w:val="24"/>
          <w:szCs w:val="24"/>
          <w:lang w:val="en-GB"/>
        </w:rPr>
        <w:t>RADA D. ĐUROVIĆ-PEJČEV</w:t>
      </w:r>
      <w:r w:rsidRPr="00F8380D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1,</w:t>
      </w:r>
      <w:r w:rsidR="002413B3" w:rsidRPr="00F8380D">
        <w:rPr>
          <w:rFonts w:ascii="Times New Roman" w:hAnsi="Times New Roman"/>
          <w:sz w:val="24"/>
          <w:szCs w:val="24"/>
          <w:lang w:val="en-GB"/>
        </w:rPr>
        <w:footnoteReference w:customMarkFollows="1" w:id="1"/>
        <w:t>*</w:t>
      </w:r>
      <w:r w:rsidR="00BF24A8" w:rsidRPr="00F8380D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F8380D">
        <w:rPr>
          <w:rFonts w:ascii="Times New Roman" w:hAnsi="Times New Roman"/>
          <w:bCs/>
          <w:sz w:val="24"/>
          <w:szCs w:val="24"/>
          <w:lang w:val="en-GB"/>
        </w:rPr>
        <w:t>SVJETLANA B. RADMANOVIĆ</w:t>
      </w:r>
      <w:r w:rsidRPr="00F8380D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2</w:t>
      </w:r>
      <w:r w:rsidRPr="00F8380D">
        <w:rPr>
          <w:rFonts w:ascii="Times New Roman" w:hAnsi="Times New Roman"/>
          <w:bCs/>
          <w:sz w:val="24"/>
          <w:szCs w:val="24"/>
          <w:lang w:val="en-GB"/>
        </w:rPr>
        <w:t>,</w:t>
      </w:r>
      <w:r w:rsidRPr="00F8380D">
        <w:rPr>
          <w:rFonts w:ascii="Times New Roman" w:hAnsi="Times New Roman"/>
          <w:bCs/>
          <w:color w:val="FF0000"/>
          <w:sz w:val="24"/>
          <w:szCs w:val="24"/>
          <w:lang w:val="en-GB"/>
        </w:rPr>
        <w:t xml:space="preserve"> </w:t>
      </w:r>
      <w:r w:rsidRPr="00F8380D">
        <w:rPr>
          <w:rFonts w:ascii="Times New Roman" w:hAnsi="Times New Roman"/>
          <w:bCs/>
          <w:sz w:val="24"/>
          <w:szCs w:val="24"/>
          <w:lang w:val="en-GB"/>
        </w:rPr>
        <w:t>ZORICA P. TOMIĆ</w:t>
      </w:r>
      <w:r w:rsidRPr="00F8380D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2</w:t>
      </w:r>
      <w:r w:rsidRPr="00F8380D">
        <w:rPr>
          <w:rFonts w:ascii="Times New Roman" w:hAnsi="Times New Roman"/>
          <w:bCs/>
          <w:sz w:val="24"/>
          <w:szCs w:val="24"/>
          <w:lang w:val="en-GB"/>
        </w:rPr>
        <w:t>, LAZAR M. KALUĐEROVIĆ</w:t>
      </w:r>
      <w:r w:rsidRPr="00F8380D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2</w:t>
      </w:r>
      <w:r w:rsidR="00CB05A5" w:rsidRPr="00F8380D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r w:rsidRPr="00F8380D">
        <w:rPr>
          <w:rFonts w:ascii="Times New Roman" w:hAnsi="Times New Roman"/>
          <w:bCs/>
          <w:sz w:val="24"/>
          <w:szCs w:val="24"/>
          <w:lang w:val="en-GB"/>
        </w:rPr>
        <w:t>VOJISLAVA P. BURSIĆ</w:t>
      </w:r>
      <w:r w:rsidRPr="00F8380D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3</w:t>
      </w:r>
      <w:r w:rsidR="00CB05A5" w:rsidRPr="00F8380D">
        <w:rPr>
          <w:rFonts w:ascii="Times New Roman" w:hAnsi="Times New Roman"/>
          <w:bCs/>
          <w:sz w:val="24"/>
          <w:szCs w:val="24"/>
          <w:lang w:val="en-GB"/>
        </w:rPr>
        <w:t xml:space="preserve"> and LJILJANA R. ŠANTRIĆ</w:t>
      </w:r>
      <w:r w:rsidR="00CB05A5" w:rsidRPr="00F8380D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1</w:t>
      </w:r>
    </w:p>
    <w:p w14:paraId="023F41D0" w14:textId="77777777" w:rsidR="00577422" w:rsidRPr="00F8380D" w:rsidRDefault="00577422" w:rsidP="0057742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F8380D">
        <w:rPr>
          <w:rFonts w:ascii="Times New Roman" w:hAnsi="Times New Roman"/>
          <w:i/>
          <w:sz w:val="24"/>
          <w:szCs w:val="24"/>
          <w:vertAlign w:val="superscript"/>
          <w:lang w:val="en-GB"/>
        </w:rPr>
        <w:t>1</w:t>
      </w:r>
      <w:r w:rsidR="003C0403" w:rsidRPr="00F8380D">
        <w:rPr>
          <w:rFonts w:ascii="Times New Roman" w:hAnsi="Times New Roman"/>
          <w:i/>
          <w:sz w:val="24"/>
          <w:szCs w:val="24"/>
          <w:lang w:val="en-GB"/>
        </w:rPr>
        <w:t xml:space="preserve">Institute </w:t>
      </w:r>
      <w:r w:rsidR="003C0403" w:rsidRPr="00F8380D">
        <w:rPr>
          <w:rFonts w:ascii="Times New Roman" w:hAnsi="Times New Roman"/>
          <w:bCs/>
          <w:i/>
          <w:sz w:val="24"/>
          <w:szCs w:val="24"/>
          <w:lang w:val="en-GB"/>
        </w:rPr>
        <w:t xml:space="preserve">of Pesticides and Environmental Protection, </w:t>
      </w:r>
      <w:proofErr w:type="spellStart"/>
      <w:r w:rsidR="003C0403" w:rsidRPr="00F8380D">
        <w:rPr>
          <w:rFonts w:ascii="Times New Roman" w:hAnsi="Times New Roman"/>
          <w:bCs/>
          <w:i/>
          <w:sz w:val="24"/>
          <w:szCs w:val="24"/>
          <w:lang w:val="en-GB"/>
        </w:rPr>
        <w:t>Banatska</w:t>
      </w:r>
      <w:proofErr w:type="spellEnd"/>
      <w:r w:rsidR="003C0403" w:rsidRPr="00F8380D">
        <w:rPr>
          <w:rFonts w:ascii="Times New Roman" w:hAnsi="Times New Roman"/>
          <w:bCs/>
          <w:i/>
          <w:sz w:val="24"/>
          <w:szCs w:val="24"/>
          <w:lang w:val="en-GB"/>
        </w:rPr>
        <w:t xml:space="preserve"> 31b, 11080 Belgrad</w:t>
      </w:r>
      <w:bookmarkStart w:id="0" w:name="_GoBack"/>
      <w:bookmarkEnd w:id="0"/>
      <w:r w:rsidR="003C0403" w:rsidRPr="00F8380D">
        <w:rPr>
          <w:rFonts w:ascii="Times New Roman" w:hAnsi="Times New Roman"/>
          <w:bCs/>
          <w:i/>
          <w:sz w:val="24"/>
          <w:szCs w:val="24"/>
          <w:lang w:val="en-GB"/>
        </w:rPr>
        <w:t xml:space="preserve">e, Serbia; </w:t>
      </w:r>
      <w:r w:rsidRPr="00F8380D">
        <w:rPr>
          <w:rFonts w:ascii="Times New Roman" w:hAnsi="Times New Roman"/>
          <w:i/>
          <w:sz w:val="24"/>
          <w:szCs w:val="24"/>
          <w:vertAlign w:val="superscript"/>
          <w:lang w:val="en-GB"/>
        </w:rPr>
        <w:t>2</w:t>
      </w:r>
      <w:r w:rsidR="003C0403" w:rsidRPr="00F8380D">
        <w:rPr>
          <w:rFonts w:ascii="Times New Roman" w:hAnsi="Times New Roman"/>
          <w:i/>
          <w:sz w:val="24"/>
          <w:szCs w:val="24"/>
          <w:lang w:val="en-GB"/>
        </w:rPr>
        <w:t xml:space="preserve">University </w:t>
      </w:r>
      <w:r w:rsidR="003C0403" w:rsidRPr="00F8380D">
        <w:rPr>
          <w:rFonts w:ascii="Times New Roman" w:hAnsi="Times New Roman"/>
          <w:bCs/>
          <w:i/>
          <w:sz w:val="24"/>
          <w:szCs w:val="24"/>
          <w:lang w:val="en-GB"/>
        </w:rPr>
        <w:t xml:space="preserve">of Belgrade, Faculty of Agriculture, </w:t>
      </w:r>
      <w:proofErr w:type="spellStart"/>
      <w:r w:rsidR="003C0403" w:rsidRPr="00F8380D">
        <w:rPr>
          <w:rFonts w:ascii="Times New Roman" w:hAnsi="Times New Roman"/>
          <w:bCs/>
          <w:i/>
          <w:sz w:val="24"/>
          <w:szCs w:val="24"/>
          <w:lang w:val="en-GB"/>
        </w:rPr>
        <w:t>Nemanjina</w:t>
      </w:r>
      <w:proofErr w:type="spellEnd"/>
      <w:r w:rsidR="003C0403" w:rsidRPr="00F8380D">
        <w:rPr>
          <w:rFonts w:ascii="Times New Roman" w:hAnsi="Times New Roman"/>
          <w:bCs/>
          <w:i/>
          <w:sz w:val="24"/>
          <w:szCs w:val="24"/>
          <w:lang w:val="en-GB"/>
        </w:rPr>
        <w:t xml:space="preserve"> 6, 11080 Belgrade, Serbia; </w:t>
      </w:r>
      <w:r w:rsidR="003C0403" w:rsidRPr="00F8380D">
        <w:rPr>
          <w:rFonts w:ascii="Times New Roman" w:hAnsi="Times New Roman"/>
          <w:i/>
          <w:sz w:val="24"/>
          <w:szCs w:val="24"/>
          <w:vertAlign w:val="superscript"/>
          <w:lang w:val="en-GB"/>
        </w:rPr>
        <w:t>3</w:t>
      </w:r>
      <w:r w:rsidR="003C0403" w:rsidRPr="00F8380D">
        <w:rPr>
          <w:rFonts w:ascii="Times New Roman" w:hAnsi="Times New Roman"/>
          <w:i/>
          <w:sz w:val="24"/>
          <w:szCs w:val="24"/>
          <w:lang w:val="en-GB"/>
        </w:rPr>
        <w:t xml:space="preserve">University </w:t>
      </w:r>
      <w:r w:rsidR="00A26E77" w:rsidRPr="00F8380D">
        <w:rPr>
          <w:rFonts w:ascii="Times New Roman" w:hAnsi="Times New Roman"/>
          <w:bCs/>
          <w:i/>
          <w:sz w:val="24"/>
          <w:szCs w:val="24"/>
          <w:lang w:val="en-GB"/>
        </w:rPr>
        <w:t xml:space="preserve">of Novi Sad, Faculty of Agriculture, </w:t>
      </w:r>
      <w:proofErr w:type="spellStart"/>
      <w:r w:rsidR="00A26E77" w:rsidRPr="00F8380D">
        <w:rPr>
          <w:rFonts w:ascii="Times New Roman" w:hAnsi="Times New Roman"/>
          <w:bCs/>
          <w:i/>
          <w:sz w:val="24"/>
          <w:szCs w:val="24"/>
          <w:lang w:val="en-GB"/>
        </w:rPr>
        <w:t>Trg</w:t>
      </w:r>
      <w:proofErr w:type="spellEnd"/>
      <w:r w:rsidR="00A26E77" w:rsidRPr="00F8380D">
        <w:rPr>
          <w:rFonts w:ascii="Times New Roman" w:hAnsi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="00A26E77" w:rsidRPr="00F8380D">
        <w:rPr>
          <w:rFonts w:ascii="Times New Roman" w:hAnsi="Times New Roman"/>
          <w:bCs/>
          <w:i/>
          <w:sz w:val="24"/>
          <w:szCs w:val="24"/>
          <w:lang w:val="en-GB"/>
        </w:rPr>
        <w:t>Dositeja</w:t>
      </w:r>
      <w:proofErr w:type="spellEnd"/>
      <w:r w:rsidR="00A26E77" w:rsidRPr="00F8380D">
        <w:rPr>
          <w:rFonts w:ascii="Times New Roman" w:hAnsi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="00A26E77" w:rsidRPr="00F8380D">
        <w:rPr>
          <w:rFonts w:ascii="Times New Roman" w:hAnsi="Times New Roman"/>
          <w:bCs/>
          <w:i/>
          <w:sz w:val="24"/>
          <w:szCs w:val="24"/>
          <w:lang w:val="en-GB"/>
        </w:rPr>
        <w:t>Obradovića</w:t>
      </w:r>
      <w:proofErr w:type="spellEnd"/>
      <w:r w:rsidR="00A26E77" w:rsidRPr="00F8380D">
        <w:rPr>
          <w:rFonts w:ascii="Times New Roman" w:hAnsi="Times New Roman"/>
          <w:bCs/>
          <w:i/>
          <w:sz w:val="24"/>
          <w:szCs w:val="24"/>
          <w:lang w:val="en-GB"/>
        </w:rPr>
        <w:t xml:space="preserve"> 8, 21000 Novi Sad, Serbia</w:t>
      </w:r>
    </w:p>
    <w:p w14:paraId="4FCC8BFF" w14:textId="77777777" w:rsidR="00577422" w:rsidRPr="00F8380D" w:rsidRDefault="00577422" w:rsidP="0057742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</w:p>
    <w:p w14:paraId="7523A1C2" w14:textId="77777777" w:rsidR="00B440FF" w:rsidRPr="00F8380D" w:rsidRDefault="00501847" w:rsidP="000D1FE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F8380D">
        <w:rPr>
          <w:rFonts w:ascii="Times New Roman" w:hAnsi="Times New Roman"/>
          <w:i/>
          <w:sz w:val="24"/>
          <w:szCs w:val="24"/>
          <w:lang w:val="en-GB"/>
        </w:rPr>
        <w:t>Abstract:</w:t>
      </w:r>
      <w:r w:rsidR="00FC2A2B" w:rsidRPr="00F8380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C5D98" w:rsidRPr="00F8380D">
        <w:rPr>
          <w:rFonts w:ascii="Times New Roman" w:hAnsi="Times New Roman"/>
          <w:sz w:val="24"/>
          <w:szCs w:val="24"/>
          <w:lang w:val="en-GB"/>
        </w:rPr>
        <w:t xml:space="preserve">Studies of </w:t>
      </w:r>
      <w:r w:rsidR="00B440FF" w:rsidRPr="00F8380D">
        <w:rPr>
          <w:rFonts w:ascii="Times New Roman" w:hAnsi="Times New Roman"/>
          <w:sz w:val="24"/>
          <w:szCs w:val="24"/>
          <w:lang w:val="en-GB"/>
        </w:rPr>
        <w:t xml:space="preserve">adsorption and desorption of pesticides by soils are important for understanding and predicting their fate and transport </w:t>
      </w:r>
      <w:r w:rsidR="007C5D98" w:rsidRPr="00F8380D">
        <w:rPr>
          <w:rFonts w:ascii="Times New Roman" w:hAnsi="Times New Roman"/>
          <w:sz w:val="24"/>
          <w:szCs w:val="24"/>
          <w:lang w:val="en-GB"/>
        </w:rPr>
        <w:t xml:space="preserve">in the environment. Considering the </w:t>
      </w:r>
      <w:r w:rsidR="00B440FF" w:rsidRPr="00F8380D">
        <w:rPr>
          <w:rFonts w:ascii="Times New Roman" w:hAnsi="Times New Roman"/>
          <w:sz w:val="24"/>
          <w:szCs w:val="24"/>
          <w:lang w:val="en-GB"/>
        </w:rPr>
        <w:t>agricultural and environmental relevance</w:t>
      </w:r>
      <w:r w:rsidR="007C5D98" w:rsidRPr="00F8380D">
        <w:rPr>
          <w:rFonts w:ascii="Times New Roman" w:hAnsi="Times New Roman"/>
          <w:sz w:val="24"/>
          <w:szCs w:val="24"/>
          <w:lang w:val="en-GB"/>
        </w:rPr>
        <w:t xml:space="preserve"> of clomazone</w:t>
      </w:r>
      <w:r w:rsidR="00B440FF" w:rsidRPr="00F8380D">
        <w:rPr>
          <w:rFonts w:ascii="Times New Roman" w:hAnsi="Times New Roman"/>
          <w:sz w:val="24"/>
          <w:szCs w:val="24"/>
          <w:lang w:val="en-GB"/>
        </w:rPr>
        <w:t xml:space="preserve">, its sorption-desorption </w:t>
      </w:r>
      <w:r w:rsidR="00F8380D">
        <w:rPr>
          <w:rFonts w:ascii="Times New Roman" w:hAnsi="Times New Roman"/>
          <w:sz w:val="24"/>
          <w:szCs w:val="24"/>
          <w:lang w:val="en-GB"/>
        </w:rPr>
        <w:t>behaviour</w:t>
      </w:r>
      <w:r w:rsidR="00B440FF" w:rsidRPr="00F8380D">
        <w:rPr>
          <w:rFonts w:ascii="Times New Roman" w:hAnsi="Times New Roman"/>
          <w:sz w:val="24"/>
          <w:szCs w:val="24"/>
          <w:lang w:val="en-GB"/>
        </w:rPr>
        <w:t xml:space="preserve"> were studied in two widespread Serbian agricultural soil types named Regosol and Chernozem. Both phenomena are well</w:t>
      </w:r>
      <w:r w:rsidR="007C5D98" w:rsidRPr="00F8380D">
        <w:rPr>
          <w:rFonts w:ascii="Times New Roman" w:hAnsi="Times New Roman"/>
          <w:sz w:val="24"/>
          <w:szCs w:val="24"/>
          <w:lang w:val="en-GB"/>
        </w:rPr>
        <w:t>-</w:t>
      </w:r>
      <w:r w:rsidR="00B440FF" w:rsidRPr="00F8380D">
        <w:rPr>
          <w:rFonts w:ascii="Times New Roman" w:hAnsi="Times New Roman"/>
          <w:sz w:val="24"/>
          <w:szCs w:val="24"/>
          <w:lang w:val="en-GB"/>
        </w:rPr>
        <w:t xml:space="preserve">described by the </w:t>
      </w:r>
      <w:proofErr w:type="spellStart"/>
      <w:r w:rsidR="00B440FF" w:rsidRPr="00F8380D">
        <w:rPr>
          <w:rFonts w:ascii="Times New Roman" w:hAnsi="Times New Roman"/>
          <w:sz w:val="24"/>
          <w:szCs w:val="24"/>
          <w:lang w:val="en-GB"/>
        </w:rPr>
        <w:t>Freundlich</w:t>
      </w:r>
      <w:proofErr w:type="spellEnd"/>
      <w:r w:rsidR="00B440FF" w:rsidRPr="00F8380D">
        <w:rPr>
          <w:rFonts w:ascii="Times New Roman" w:hAnsi="Times New Roman"/>
          <w:sz w:val="24"/>
          <w:szCs w:val="24"/>
          <w:lang w:val="en-GB"/>
        </w:rPr>
        <w:t xml:space="preserve"> equation, which shows that clomazone </w:t>
      </w:r>
      <w:r w:rsidR="007C5D98" w:rsidRPr="00F8380D">
        <w:rPr>
          <w:rFonts w:ascii="Times New Roman" w:hAnsi="Times New Roman"/>
          <w:sz w:val="24"/>
          <w:szCs w:val="24"/>
          <w:lang w:val="en-GB"/>
        </w:rPr>
        <w:t xml:space="preserve">is </w:t>
      </w:r>
      <w:r w:rsidR="00B440FF" w:rsidRPr="00F8380D">
        <w:rPr>
          <w:rFonts w:ascii="Times New Roman" w:hAnsi="Times New Roman"/>
          <w:sz w:val="24"/>
          <w:szCs w:val="24"/>
          <w:lang w:val="en-GB"/>
        </w:rPr>
        <w:t xml:space="preserve">generally </w:t>
      </w:r>
      <w:proofErr w:type="spellStart"/>
      <w:r w:rsidR="00B440FF" w:rsidRPr="00F8380D">
        <w:rPr>
          <w:rFonts w:ascii="Times New Roman" w:hAnsi="Times New Roman"/>
          <w:sz w:val="24"/>
          <w:szCs w:val="24"/>
          <w:lang w:val="en-GB"/>
        </w:rPr>
        <w:t>sorb</w:t>
      </w:r>
      <w:r w:rsidR="007C5D98" w:rsidRPr="00F8380D">
        <w:rPr>
          <w:rFonts w:ascii="Times New Roman" w:hAnsi="Times New Roman"/>
          <w:sz w:val="24"/>
          <w:szCs w:val="24"/>
          <w:lang w:val="en-GB"/>
        </w:rPr>
        <w:t>ed</w:t>
      </w:r>
      <w:proofErr w:type="spellEnd"/>
      <w:r w:rsidR="00B440FF" w:rsidRPr="00F8380D">
        <w:rPr>
          <w:rFonts w:ascii="Times New Roman" w:hAnsi="Times New Roman"/>
          <w:sz w:val="24"/>
          <w:szCs w:val="24"/>
          <w:lang w:val="en-GB"/>
        </w:rPr>
        <w:t xml:space="preserve"> more to organic matter than to the mi</w:t>
      </w:r>
      <w:r w:rsidR="007C5D98" w:rsidRPr="00F8380D">
        <w:rPr>
          <w:rFonts w:ascii="Times New Roman" w:hAnsi="Times New Roman"/>
          <w:sz w:val="24"/>
          <w:szCs w:val="24"/>
          <w:lang w:val="en-GB"/>
        </w:rPr>
        <w:t>neral soil</w:t>
      </w:r>
      <w:r w:rsidR="00B440FF" w:rsidRPr="00F8380D">
        <w:rPr>
          <w:rFonts w:ascii="Times New Roman" w:hAnsi="Times New Roman"/>
          <w:sz w:val="24"/>
          <w:szCs w:val="24"/>
          <w:lang w:val="en-GB"/>
        </w:rPr>
        <w:t xml:space="preserve"> fractions. Chernozem</w:t>
      </w:r>
      <w:r w:rsidR="007C5D98" w:rsidRPr="00F8380D">
        <w:rPr>
          <w:rFonts w:ascii="Times New Roman" w:hAnsi="Times New Roman"/>
          <w:sz w:val="24"/>
          <w:szCs w:val="24"/>
          <w:lang w:val="en-GB"/>
        </w:rPr>
        <w:t xml:space="preserve">, a </w:t>
      </w:r>
      <w:r w:rsidR="00B440FF" w:rsidRPr="00F8380D">
        <w:rPr>
          <w:rFonts w:ascii="Times New Roman" w:hAnsi="Times New Roman"/>
          <w:sz w:val="24"/>
          <w:szCs w:val="24"/>
          <w:lang w:val="en-GB"/>
        </w:rPr>
        <w:t xml:space="preserve">soil containing more </w:t>
      </w:r>
      <w:r w:rsidR="007C5D98" w:rsidRPr="00F8380D">
        <w:rPr>
          <w:rFonts w:ascii="Times New Roman" w:hAnsi="Times New Roman"/>
          <w:sz w:val="24"/>
          <w:szCs w:val="24"/>
          <w:lang w:val="en-GB"/>
        </w:rPr>
        <w:t>of</w:t>
      </w:r>
      <w:r w:rsidR="00B440FF" w:rsidRPr="00F8380D">
        <w:rPr>
          <w:rFonts w:ascii="Times New Roman" w:hAnsi="Times New Roman"/>
          <w:sz w:val="24"/>
          <w:szCs w:val="24"/>
          <w:lang w:val="en-GB"/>
        </w:rPr>
        <w:t xml:space="preserve"> both organic matter and clay, was found to bind more</w:t>
      </w:r>
      <w:r w:rsidR="00B5660C" w:rsidRPr="00F8380D">
        <w:rPr>
          <w:rFonts w:ascii="Times New Roman" w:hAnsi="Times New Roman"/>
          <w:sz w:val="24"/>
          <w:szCs w:val="24"/>
          <w:lang w:val="en-GB"/>
        </w:rPr>
        <w:t xml:space="preserve">, and </w:t>
      </w:r>
      <w:r w:rsidR="00B440FF" w:rsidRPr="00F8380D">
        <w:rPr>
          <w:rFonts w:ascii="Times New Roman" w:hAnsi="Times New Roman"/>
          <w:sz w:val="24"/>
          <w:szCs w:val="24"/>
          <w:lang w:val="en-GB"/>
        </w:rPr>
        <w:t>desorb less herbicide</w:t>
      </w:r>
      <w:r w:rsidR="00B5660C" w:rsidRPr="00F8380D">
        <w:rPr>
          <w:rFonts w:ascii="Times New Roman" w:hAnsi="Times New Roman"/>
          <w:sz w:val="24"/>
          <w:szCs w:val="24"/>
          <w:lang w:val="en-GB"/>
        </w:rPr>
        <w:t xml:space="preserve">, than </w:t>
      </w:r>
      <w:r w:rsidR="00B440FF" w:rsidRPr="00F8380D">
        <w:rPr>
          <w:rFonts w:ascii="Times New Roman" w:hAnsi="Times New Roman"/>
          <w:sz w:val="24"/>
          <w:szCs w:val="24"/>
          <w:lang w:val="en-GB"/>
        </w:rPr>
        <w:t xml:space="preserve">Regosol. </w:t>
      </w:r>
      <w:r w:rsidR="00EF6D70" w:rsidRPr="00F8380D">
        <w:rPr>
          <w:rFonts w:ascii="Times New Roman" w:hAnsi="Times New Roman"/>
          <w:sz w:val="24"/>
          <w:szCs w:val="24"/>
          <w:lang w:val="en-GB"/>
        </w:rPr>
        <w:t>H</w:t>
      </w:r>
      <w:r w:rsidR="00B440FF" w:rsidRPr="00F8380D">
        <w:rPr>
          <w:rFonts w:ascii="Times New Roman" w:hAnsi="Times New Roman"/>
          <w:sz w:val="24"/>
          <w:szCs w:val="24"/>
          <w:lang w:val="en-GB"/>
        </w:rPr>
        <w:t xml:space="preserve">igher desorption hysteresis obtained for Chernozem could be </w:t>
      </w:r>
      <w:r w:rsidR="00EF6D70" w:rsidRPr="00F8380D">
        <w:rPr>
          <w:rFonts w:ascii="Times New Roman" w:hAnsi="Times New Roman"/>
          <w:sz w:val="24"/>
          <w:szCs w:val="24"/>
          <w:lang w:val="en-GB"/>
        </w:rPr>
        <w:t>attributed to its</w:t>
      </w:r>
      <w:r w:rsidR="00B440FF" w:rsidRPr="00F8380D">
        <w:rPr>
          <w:rFonts w:ascii="Times New Roman" w:hAnsi="Times New Roman"/>
          <w:sz w:val="24"/>
          <w:szCs w:val="24"/>
          <w:lang w:val="en-GB"/>
        </w:rPr>
        <w:t xml:space="preserve"> larger number of high-energy sorption sites</w:t>
      </w:r>
      <w:r w:rsidR="00EF6D70" w:rsidRPr="00F8380D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B440FF" w:rsidRPr="00F8380D">
        <w:rPr>
          <w:rFonts w:ascii="Times New Roman" w:hAnsi="Times New Roman"/>
          <w:sz w:val="24"/>
          <w:szCs w:val="24"/>
          <w:lang w:val="en-GB"/>
        </w:rPr>
        <w:t>compared to Regosol. In both soils, the hysteresis effect increase</w:t>
      </w:r>
      <w:r w:rsidR="00EF6D70" w:rsidRPr="00F8380D">
        <w:rPr>
          <w:rFonts w:ascii="Times New Roman" w:hAnsi="Times New Roman"/>
          <w:sz w:val="24"/>
          <w:szCs w:val="24"/>
          <w:lang w:val="en-GB"/>
        </w:rPr>
        <w:t>s</w:t>
      </w:r>
      <w:r w:rsidR="00B440FF" w:rsidRPr="00F8380D">
        <w:rPr>
          <w:rFonts w:ascii="Times New Roman" w:hAnsi="Times New Roman"/>
          <w:sz w:val="24"/>
          <w:szCs w:val="24"/>
          <w:lang w:val="en-GB"/>
        </w:rPr>
        <w:t xml:space="preserve"> with increase</w:t>
      </w:r>
      <w:r w:rsidR="00EF6D70" w:rsidRPr="00F8380D">
        <w:rPr>
          <w:rFonts w:ascii="Times New Roman" w:hAnsi="Times New Roman"/>
          <w:sz w:val="24"/>
          <w:szCs w:val="24"/>
          <w:lang w:val="en-GB"/>
        </w:rPr>
        <w:t xml:space="preserve"> in </w:t>
      </w:r>
      <w:r w:rsidR="00B440FF" w:rsidRPr="00F8380D">
        <w:rPr>
          <w:rFonts w:ascii="Times New Roman" w:hAnsi="Times New Roman"/>
          <w:sz w:val="24"/>
          <w:szCs w:val="24"/>
          <w:lang w:val="en-GB"/>
        </w:rPr>
        <w:t>initial clomazone concentration in the soil-water system, while the percentage of desorbed amount during successive desorption cycles decrease</w:t>
      </w:r>
      <w:r w:rsidR="00EF6D70" w:rsidRPr="00F8380D">
        <w:rPr>
          <w:rFonts w:ascii="Times New Roman" w:hAnsi="Times New Roman"/>
          <w:sz w:val="24"/>
          <w:szCs w:val="24"/>
          <w:lang w:val="en-GB"/>
        </w:rPr>
        <w:t>s</w:t>
      </w:r>
      <w:r w:rsidR="00B440FF" w:rsidRPr="00F8380D">
        <w:rPr>
          <w:rFonts w:ascii="Times New Roman" w:hAnsi="Times New Roman"/>
          <w:sz w:val="24"/>
          <w:szCs w:val="24"/>
          <w:lang w:val="en-GB"/>
        </w:rPr>
        <w:t xml:space="preserve">. The presented adsorption-desorption study </w:t>
      </w:r>
      <w:r w:rsidR="00EF6D70" w:rsidRPr="00F8380D">
        <w:rPr>
          <w:rFonts w:ascii="Times New Roman" w:hAnsi="Times New Roman"/>
          <w:sz w:val="24"/>
          <w:szCs w:val="24"/>
          <w:lang w:val="en-GB"/>
        </w:rPr>
        <w:t>shows that soil</w:t>
      </w:r>
      <w:r w:rsidR="00B440FF" w:rsidRPr="00F8380D">
        <w:rPr>
          <w:rFonts w:ascii="Times New Roman" w:hAnsi="Times New Roman"/>
          <w:sz w:val="24"/>
          <w:szCs w:val="24"/>
          <w:lang w:val="en-GB"/>
        </w:rPr>
        <w:t xml:space="preserve"> composition play</w:t>
      </w:r>
      <w:r w:rsidR="00EF6D70" w:rsidRPr="00F8380D">
        <w:rPr>
          <w:rFonts w:ascii="Times New Roman" w:hAnsi="Times New Roman"/>
          <w:sz w:val="24"/>
          <w:szCs w:val="24"/>
          <w:lang w:val="en-GB"/>
        </w:rPr>
        <w:t>s</w:t>
      </w:r>
      <w:r w:rsidR="00B440FF" w:rsidRPr="00F8380D">
        <w:rPr>
          <w:rFonts w:ascii="Times New Roman" w:hAnsi="Times New Roman"/>
          <w:sz w:val="24"/>
          <w:szCs w:val="24"/>
          <w:lang w:val="en-GB"/>
        </w:rPr>
        <w:t xml:space="preserve"> an important role in clomazone </w:t>
      </w:r>
      <w:r w:rsidR="00F8380D">
        <w:rPr>
          <w:rFonts w:ascii="Times New Roman" w:hAnsi="Times New Roman"/>
          <w:sz w:val="24"/>
          <w:szCs w:val="24"/>
          <w:lang w:val="en-GB"/>
        </w:rPr>
        <w:t>behaviour</w:t>
      </w:r>
      <w:r w:rsidR="00B440FF" w:rsidRPr="00F8380D">
        <w:rPr>
          <w:rFonts w:ascii="Times New Roman" w:hAnsi="Times New Roman"/>
          <w:sz w:val="24"/>
          <w:szCs w:val="24"/>
          <w:lang w:val="en-GB"/>
        </w:rPr>
        <w:t xml:space="preserve"> and fate in the environment, and </w:t>
      </w:r>
      <w:r w:rsidR="00EF6D70" w:rsidRPr="00F8380D">
        <w:rPr>
          <w:rFonts w:ascii="Times New Roman" w:hAnsi="Times New Roman"/>
          <w:sz w:val="24"/>
          <w:szCs w:val="24"/>
          <w:lang w:val="en-GB"/>
        </w:rPr>
        <w:t xml:space="preserve">a significantly reduced </w:t>
      </w:r>
      <w:r w:rsidR="00B440FF" w:rsidRPr="00F8380D">
        <w:rPr>
          <w:rFonts w:ascii="Times New Roman" w:hAnsi="Times New Roman"/>
          <w:sz w:val="24"/>
          <w:szCs w:val="24"/>
          <w:lang w:val="en-GB"/>
        </w:rPr>
        <w:t xml:space="preserve">probability of contamination of both </w:t>
      </w:r>
      <w:r w:rsidR="00EF6D70" w:rsidRPr="00F8380D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B440FF" w:rsidRPr="00F8380D">
        <w:rPr>
          <w:rFonts w:ascii="Times New Roman" w:hAnsi="Times New Roman"/>
          <w:sz w:val="24"/>
          <w:szCs w:val="24"/>
          <w:lang w:val="en-GB"/>
        </w:rPr>
        <w:t xml:space="preserve">deeper soil layers and groundwater </w:t>
      </w:r>
      <w:r w:rsidR="002231D1" w:rsidRPr="00F8380D">
        <w:rPr>
          <w:rFonts w:ascii="Times New Roman" w:hAnsi="Times New Roman"/>
          <w:sz w:val="24"/>
          <w:szCs w:val="24"/>
          <w:lang w:val="en-GB"/>
        </w:rPr>
        <w:t>may be expected</w:t>
      </w:r>
      <w:r w:rsidR="00B440FF" w:rsidRPr="00F8380D">
        <w:rPr>
          <w:rFonts w:ascii="Times New Roman" w:hAnsi="Times New Roman"/>
          <w:sz w:val="24"/>
          <w:szCs w:val="24"/>
          <w:lang w:val="en-GB"/>
        </w:rPr>
        <w:t xml:space="preserve"> when this herbicide is found in humus-rich soils.   </w:t>
      </w:r>
    </w:p>
    <w:p w14:paraId="73018470" w14:textId="77777777" w:rsidR="00577422" w:rsidRPr="00F8380D" w:rsidRDefault="00577422" w:rsidP="00501847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1C42AB5C" w14:textId="77777777" w:rsidR="00501847" w:rsidRPr="00F8380D" w:rsidRDefault="00501847" w:rsidP="00501847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F8380D">
        <w:rPr>
          <w:rFonts w:ascii="Times New Roman" w:hAnsi="Times New Roman"/>
          <w:i/>
          <w:sz w:val="24"/>
          <w:szCs w:val="24"/>
          <w:lang w:val="en-GB"/>
        </w:rPr>
        <w:t>Keywords:</w:t>
      </w:r>
      <w:r w:rsidR="0076435D" w:rsidRPr="00F8380D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76435D" w:rsidRPr="00F8380D">
        <w:rPr>
          <w:rFonts w:ascii="Times New Roman" w:hAnsi="Times New Roman"/>
          <w:sz w:val="24"/>
          <w:szCs w:val="24"/>
          <w:lang w:val="en-GB"/>
        </w:rPr>
        <w:t>pesticides</w:t>
      </w:r>
      <w:r w:rsidRPr="00F8380D">
        <w:rPr>
          <w:rFonts w:ascii="Times New Roman" w:hAnsi="Times New Roman"/>
          <w:sz w:val="24"/>
          <w:szCs w:val="24"/>
          <w:lang w:val="en-GB"/>
        </w:rPr>
        <w:t xml:space="preserve">; </w:t>
      </w:r>
      <w:r w:rsidR="0076435D" w:rsidRPr="00F8380D">
        <w:rPr>
          <w:rFonts w:ascii="Times New Roman" w:hAnsi="Times New Roman"/>
          <w:sz w:val="24"/>
          <w:szCs w:val="24"/>
          <w:lang w:val="en-GB"/>
        </w:rPr>
        <w:t>sorption</w:t>
      </w:r>
      <w:r w:rsidRPr="00F8380D">
        <w:rPr>
          <w:rFonts w:ascii="Times New Roman" w:hAnsi="Times New Roman"/>
          <w:sz w:val="24"/>
          <w:szCs w:val="24"/>
          <w:lang w:val="en-GB"/>
        </w:rPr>
        <w:t xml:space="preserve">; </w:t>
      </w:r>
      <w:r w:rsidR="0076435D" w:rsidRPr="00F8380D">
        <w:rPr>
          <w:rFonts w:ascii="Times New Roman" w:hAnsi="Times New Roman"/>
          <w:sz w:val="24"/>
          <w:szCs w:val="24"/>
          <w:lang w:val="en-GB"/>
        </w:rPr>
        <w:t xml:space="preserve">soil; </w:t>
      </w:r>
      <w:r w:rsidR="00FC2A2B" w:rsidRPr="00F8380D">
        <w:rPr>
          <w:rFonts w:ascii="Times New Roman" w:hAnsi="Times New Roman"/>
          <w:sz w:val="24"/>
          <w:szCs w:val="24"/>
          <w:lang w:val="en-GB"/>
        </w:rPr>
        <w:t>modelling</w:t>
      </w:r>
      <w:r w:rsidRPr="00F8380D">
        <w:rPr>
          <w:rFonts w:ascii="Times New Roman" w:hAnsi="Times New Roman"/>
          <w:sz w:val="24"/>
          <w:szCs w:val="24"/>
          <w:lang w:val="en-GB"/>
        </w:rPr>
        <w:t>.</w:t>
      </w:r>
      <w:r w:rsidR="00577422" w:rsidRPr="00F8380D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44B4A6D6" w14:textId="77777777" w:rsidR="00577422" w:rsidRPr="00F8380D" w:rsidRDefault="00577422" w:rsidP="00501847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61714558" w14:textId="77777777" w:rsidR="00577422" w:rsidRPr="00F8380D" w:rsidRDefault="00577422" w:rsidP="00501847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F8380D">
        <w:rPr>
          <w:rFonts w:ascii="Times New Roman" w:hAnsi="Times New Roman"/>
          <w:sz w:val="24"/>
          <w:szCs w:val="24"/>
          <w:lang w:val="en-GB"/>
        </w:rPr>
        <w:t xml:space="preserve">RUNNING TITLE: </w:t>
      </w:r>
      <w:r w:rsidR="00FC2A2B" w:rsidRPr="00F8380D">
        <w:rPr>
          <w:rFonts w:ascii="Times New Roman" w:hAnsi="Times New Roman"/>
          <w:sz w:val="24"/>
          <w:szCs w:val="24"/>
          <w:lang w:val="en-GB"/>
        </w:rPr>
        <w:t xml:space="preserve">CLOMAZONE </w:t>
      </w:r>
      <w:r w:rsidR="00FC2A2B" w:rsidRPr="00F8380D">
        <w:rPr>
          <w:rFonts w:ascii="Times New Roman" w:hAnsi="Times New Roman"/>
          <w:bCs/>
          <w:sz w:val="24"/>
          <w:szCs w:val="24"/>
          <w:lang w:val="en-GB"/>
        </w:rPr>
        <w:t>SORPTION BY SOILS</w:t>
      </w:r>
      <w:r w:rsidRPr="00F8380D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517E267F" w14:textId="77777777" w:rsidR="00577422" w:rsidRPr="00F8380D" w:rsidRDefault="00577422" w:rsidP="00501847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6F97B4B2" w14:textId="77777777" w:rsidR="004A2529" w:rsidRPr="00F8380D" w:rsidRDefault="004A2529" w:rsidP="0057742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29FBF359" w14:textId="77777777" w:rsidR="004A2529" w:rsidRPr="00F8380D" w:rsidRDefault="004A2529" w:rsidP="0057742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41B3595A" w14:textId="77777777" w:rsidR="00501847" w:rsidRPr="00250FF0" w:rsidRDefault="00501847" w:rsidP="00C11D2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250FF0">
        <w:rPr>
          <w:rFonts w:ascii="Times New Roman" w:hAnsi="Times New Roman"/>
          <w:sz w:val="24"/>
          <w:szCs w:val="24"/>
          <w:lang w:val="en-GB"/>
        </w:rPr>
        <w:lastRenderedPageBreak/>
        <w:t>INTRODUCTION</w:t>
      </w:r>
    </w:p>
    <w:p w14:paraId="18779821" w14:textId="77777777" w:rsidR="00C11D2D" w:rsidRPr="00250FF0" w:rsidRDefault="00C11D2D" w:rsidP="00C11D2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3F13F9F0" w14:textId="77777777" w:rsidR="00C11D2D" w:rsidRPr="00250FF0" w:rsidRDefault="00C11D2D" w:rsidP="001E390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50FF0">
        <w:rPr>
          <w:rFonts w:ascii="Times New Roman" w:hAnsi="Times New Roman"/>
          <w:bCs/>
          <w:sz w:val="24"/>
          <w:szCs w:val="24"/>
          <w:lang w:val="en-GB"/>
        </w:rPr>
        <w:t>Clomazone (</w:t>
      </w:r>
      <w:r w:rsidR="00ED3AD5">
        <w:rPr>
          <w:rFonts w:ascii="Times New Roman" w:hAnsi="Times New Roman"/>
          <w:bCs/>
          <w:sz w:val="24"/>
          <w:szCs w:val="24"/>
          <w:lang w:val="en-GB"/>
        </w:rPr>
        <w:t xml:space="preserve">IUPAC: 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2-(2-chlorobenzyl)-4,4-dimethyl-1,2-oxazolidin-3-one) is an </w:t>
      </w:r>
      <w:proofErr w:type="spellStart"/>
      <w:r w:rsidRPr="00250FF0">
        <w:rPr>
          <w:rFonts w:ascii="Times New Roman" w:hAnsi="Times New Roman"/>
          <w:bCs/>
          <w:sz w:val="24"/>
          <w:szCs w:val="24"/>
          <w:lang w:val="en-GB"/>
        </w:rPr>
        <w:t>isoxazolidinone</w:t>
      </w:r>
      <w:proofErr w:type="spellEnd"/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herbicide used to control annual grasses and broadleaf weeds in many crops, including soybean, rice, tobacco, cotton, pea, maize, oilseed rape, sugar cane, cassava and pumpkin crops</w:t>
      </w:r>
      <w:r w:rsidR="00335420" w:rsidRPr="00250FF0">
        <w:rPr>
          <w:rFonts w:ascii="Times New Roman" w:hAnsi="Times New Roman"/>
          <w:bCs/>
          <w:sz w:val="24"/>
          <w:szCs w:val="24"/>
          <w:lang w:val="en-GB"/>
        </w:rPr>
        <w:t>.</w:t>
      </w:r>
      <w:r w:rsidR="00335420" w:rsidRPr="00250FF0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1</w:t>
      </w:r>
      <w:r w:rsidR="00335420" w:rsidRPr="00250FF0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>Its physicochemical properties</w:t>
      </w:r>
      <w:r w:rsidRPr="00250FF0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indicate that this herbicide </w:t>
      </w:r>
      <w:r w:rsidR="00D30A9B" w:rsidRPr="00250FF0">
        <w:rPr>
          <w:rFonts w:ascii="Times New Roman" w:hAnsi="Times New Roman"/>
          <w:bCs/>
          <w:sz w:val="24"/>
          <w:szCs w:val="24"/>
          <w:lang w:val="en-GB"/>
        </w:rPr>
        <w:t>has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relatively high sol</w:t>
      </w:r>
      <w:r w:rsidR="00D30A9B" w:rsidRPr="00250FF0">
        <w:rPr>
          <w:rFonts w:ascii="Times New Roman" w:hAnsi="Times New Roman"/>
          <w:bCs/>
          <w:sz w:val="24"/>
          <w:szCs w:val="24"/>
          <w:lang w:val="en-GB"/>
        </w:rPr>
        <w:t>ubility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in water (1100 mg dm</w:t>
      </w:r>
      <w:r w:rsidRPr="00250FF0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-3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>),</w:t>
      </w:r>
      <w:r w:rsidRPr="00250FF0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and </w:t>
      </w:r>
      <w:r w:rsidR="00D30A9B" w:rsidRPr="00250FF0">
        <w:rPr>
          <w:rFonts w:ascii="Times New Roman" w:hAnsi="Times New Roman"/>
          <w:bCs/>
          <w:sz w:val="24"/>
          <w:szCs w:val="24"/>
          <w:lang w:val="en-GB"/>
        </w:rPr>
        <w:t xml:space="preserve">is 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>no</w:t>
      </w:r>
      <w:r w:rsidR="00D30A9B" w:rsidRPr="00250FF0">
        <w:rPr>
          <w:rFonts w:ascii="Times New Roman" w:hAnsi="Times New Roman"/>
          <w:bCs/>
          <w:sz w:val="24"/>
          <w:szCs w:val="24"/>
          <w:lang w:val="en-GB"/>
        </w:rPr>
        <w:t>t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rapidly degraded by environmental fate processes such as</w:t>
      </w:r>
      <w:r w:rsidRPr="00250FF0">
        <w:rPr>
          <w:sz w:val="24"/>
          <w:szCs w:val="24"/>
          <w:lang w:val="en-GB"/>
        </w:rPr>
        <w:t xml:space="preserve"> 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>photolysis or hydrolysis under a wide range of pHs</w:t>
      </w:r>
      <w:r w:rsidR="00335420" w:rsidRPr="00250FF0">
        <w:rPr>
          <w:rFonts w:ascii="Times New Roman" w:hAnsi="Times New Roman"/>
          <w:bCs/>
          <w:sz w:val="24"/>
          <w:szCs w:val="24"/>
          <w:lang w:val="en-GB"/>
        </w:rPr>
        <w:t>.</w:t>
      </w:r>
      <w:r w:rsidR="00335420" w:rsidRPr="00250FF0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1</w:t>
      </w:r>
      <w:r w:rsidR="00335420" w:rsidRPr="00250FF0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>Also, its properties</w:t>
      </w:r>
      <w:r w:rsidR="00D30A9B" w:rsidRPr="00250FF0">
        <w:rPr>
          <w:rFonts w:ascii="Times New Roman" w:hAnsi="Times New Roman"/>
          <w:bCs/>
          <w:sz w:val="24"/>
          <w:szCs w:val="24"/>
          <w:lang w:val="en-GB"/>
        </w:rPr>
        <w:t>,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such as moderate mobility (</w:t>
      </w:r>
      <w:r w:rsidRPr="000E0510">
        <w:rPr>
          <w:rFonts w:ascii="Times New Roman" w:hAnsi="Times New Roman"/>
          <w:bCs/>
          <w:i/>
          <w:sz w:val="24"/>
          <w:szCs w:val="24"/>
          <w:lang w:val="en-GB"/>
        </w:rPr>
        <w:t>K</w:t>
      </w:r>
      <w:r w:rsidRPr="004D4DDD">
        <w:rPr>
          <w:rFonts w:ascii="Times New Roman" w:hAnsi="Times New Roman"/>
          <w:bCs/>
          <w:sz w:val="24"/>
          <w:szCs w:val="24"/>
          <w:vertAlign w:val="subscript"/>
          <w:lang w:val="en-GB"/>
        </w:rPr>
        <w:t>OC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>=150-562 dm</w:t>
      </w:r>
      <w:r w:rsidRPr="00250FF0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3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kg</w:t>
      </w:r>
      <w:r w:rsidRPr="00250FF0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-1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>) and persistence in soil (</w:t>
      </w:r>
      <w:r w:rsidRPr="001C60C7">
        <w:rPr>
          <w:rFonts w:ascii="Times New Roman" w:hAnsi="Times New Roman"/>
          <w:bCs/>
          <w:sz w:val="24"/>
          <w:szCs w:val="24"/>
          <w:lang w:val="en-GB"/>
        </w:rPr>
        <w:t>DT</w:t>
      </w:r>
      <w:r w:rsidRPr="001C60C7">
        <w:rPr>
          <w:rFonts w:ascii="Times New Roman" w:hAnsi="Times New Roman"/>
          <w:bCs/>
          <w:sz w:val="24"/>
          <w:szCs w:val="24"/>
          <w:vertAlign w:val="subscript"/>
          <w:lang w:val="en-GB"/>
        </w:rPr>
        <w:t>50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>=</w:t>
      </w:r>
      <w:r w:rsidR="00335420" w:rsidRPr="00250FF0">
        <w:rPr>
          <w:rFonts w:ascii="Times New Roman" w:hAnsi="Times New Roman"/>
          <w:bCs/>
          <w:sz w:val="24"/>
          <w:szCs w:val="24"/>
          <w:lang w:val="en-GB"/>
        </w:rPr>
        <w:t>30-135 days)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>,</w:t>
      </w:r>
      <w:r w:rsidR="00335420" w:rsidRPr="00250FF0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1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as well as potentially harmful effects on cultivated plants after crop rotation</w:t>
      </w:r>
      <w:r w:rsidRPr="00250FF0">
        <w:rPr>
          <w:rFonts w:ascii="Times New Roman" w:eastAsia="AdvP6F00" w:hAnsi="Times New Roman"/>
          <w:noProof/>
          <w:sz w:val="24"/>
          <w:szCs w:val="24"/>
          <w:lang w:val="en-GB"/>
        </w:rPr>
        <w:t>,</w:t>
      </w:r>
      <w:r w:rsidR="00EF7C21" w:rsidRPr="00250FF0">
        <w:rPr>
          <w:rFonts w:ascii="Times New Roman" w:eastAsia="AdvP6F00" w:hAnsi="Times New Roman"/>
          <w:noProof/>
          <w:sz w:val="24"/>
          <w:szCs w:val="24"/>
          <w:vertAlign w:val="superscript"/>
          <w:lang w:val="en-GB"/>
        </w:rPr>
        <w:t>2</w:t>
      </w:r>
      <w:r w:rsidRPr="00250FF0">
        <w:rPr>
          <w:rFonts w:ascii="Times New Roman" w:eastAsia="AdvP6F00" w:hAnsi="Times New Roman"/>
          <w:sz w:val="24"/>
          <w:szCs w:val="24"/>
          <w:lang w:val="en-GB"/>
        </w:rPr>
        <w:t xml:space="preserve"> 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>make clomazone as possible environmental contaminant of agr</w:t>
      </w:r>
      <w:r w:rsidRPr="00250FF0">
        <w:rPr>
          <w:rFonts w:ascii="Times New Roman" w:hAnsi="Times New Roman"/>
          <w:sz w:val="24"/>
          <w:szCs w:val="24"/>
          <w:lang w:val="en-GB"/>
        </w:rPr>
        <w:t>icultural relevance. Additionally, clomazone could be classified</w:t>
      </w:r>
      <w:r w:rsidR="00D30A9B" w:rsidRPr="00250FF0">
        <w:rPr>
          <w:rFonts w:ascii="Times New Roman" w:hAnsi="Times New Roman"/>
          <w:sz w:val="24"/>
          <w:szCs w:val="24"/>
          <w:vertAlign w:val="superscript"/>
          <w:lang w:val="en-GB"/>
        </w:rPr>
        <w:t>3-5</w:t>
      </w:r>
      <w:r w:rsidR="00D30A9B"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as </w:t>
      </w:r>
      <w:r w:rsidR="00D30A9B" w:rsidRPr="00250FF0">
        <w:rPr>
          <w:rFonts w:ascii="Times New Roman" w:hAnsi="Times New Roman"/>
          <w:sz w:val="24"/>
          <w:szCs w:val="24"/>
          <w:lang w:val="en-GB"/>
        </w:rPr>
        <w:t xml:space="preserve">a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pesticide of concern </w:t>
      </w:r>
      <w:r w:rsidR="00D30A9B" w:rsidRPr="00250FF0">
        <w:rPr>
          <w:rFonts w:ascii="Times New Roman" w:hAnsi="Times New Roman"/>
          <w:sz w:val="24"/>
          <w:szCs w:val="24"/>
          <w:lang w:val="en-GB"/>
        </w:rPr>
        <w:t>due to its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possible impact on aquatic systems because its solubility in water</w:t>
      </w:r>
      <w:r w:rsidR="00D30A9B" w:rsidRPr="00250FF0">
        <w:rPr>
          <w:rFonts w:ascii="Times New Roman" w:hAnsi="Times New Roman"/>
          <w:sz w:val="24"/>
          <w:szCs w:val="24"/>
          <w:lang w:val="en-GB"/>
        </w:rPr>
        <w:t xml:space="preserve"> is ≥ 30 mg dm</w:t>
      </w:r>
      <w:r w:rsidR="00D30A9B" w:rsidRPr="00250FF0">
        <w:rPr>
          <w:rFonts w:ascii="Times New Roman" w:hAnsi="Times New Roman"/>
          <w:sz w:val="24"/>
          <w:szCs w:val="24"/>
          <w:vertAlign w:val="superscript"/>
          <w:lang w:val="en-GB"/>
        </w:rPr>
        <w:t>-3</w:t>
      </w:r>
      <w:r w:rsidRPr="00250FF0">
        <w:rPr>
          <w:rFonts w:ascii="Times New Roman" w:hAnsi="Times New Roman"/>
          <w:sz w:val="24"/>
          <w:szCs w:val="24"/>
          <w:lang w:val="en-GB"/>
        </w:rPr>
        <w:t>, organic carbon normalize</w:t>
      </w:r>
      <w:r w:rsidR="00D30A9B" w:rsidRPr="00250FF0">
        <w:rPr>
          <w:rFonts w:ascii="Times New Roman" w:hAnsi="Times New Roman"/>
          <w:sz w:val="24"/>
          <w:szCs w:val="24"/>
          <w:lang w:val="en-GB"/>
        </w:rPr>
        <w:t>d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sorption coefficient (</w:t>
      </w:r>
      <w:r w:rsidRPr="00250FF0">
        <w:rPr>
          <w:rFonts w:ascii="Times New Roman" w:hAnsi="Times New Roman"/>
          <w:i/>
          <w:sz w:val="24"/>
          <w:szCs w:val="24"/>
          <w:lang w:val="en-GB"/>
        </w:rPr>
        <w:t>K</w:t>
      </w:r>
      <w:r w:rsidRPr="001C60C7">
        <w:rPr>
          <w:rFonts w:ascii="Times New Roman" w:hAnsi="Times New Roman"/>
          <w:sz w:val="24"/>
          <w:szCs w:val="24"/>
          <w:vertAlign w:val="subscript"/>
          <w:lang w:val="en-GB"/>
        </w:rPr>
        <w:t>OC</w:t>
      </w:r>
      <w:r w:rsidRPr="00250FF0">
        <w:rPr>
          <w:rFonts w:ascii="Times New Roman" w:hAnsi="Times New Roman"/>
          <w:sz w:val="24"/>
          <w:szCs w:val="24"/>
          <w:lang w:val="en-GB"/>
        </w:rPr>
        <w:t>)</w:t>
      </w:r>
      <w:r w:rsidR="00D30A9B" w:rsidRPr="00250FF0">
        <w:rPr>
          <w:rFonts w:ascii="Times New Roman" w:hAnsi="Times New Roman"/>
          <w:sz w:val="24"/>
          <w:szCs w:val="24"/>
          <w:lang w:val="en-GB"/>
        </w:rPr>
        <w:t xml:space="preserve"> is 300-500 dm</w:t>
      </w:r>
      <w:r w:rsidR="00D30A9B" w:rsidRPr="00250FF0"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  <w:r w:rsidR="00D30A9B" w:rsidRPr="00250FF0">
        <w:rPr>
          <w:rFonts w:ascii="Times New Roman" w:hAnsi="Times New Roman"/>
          <w:sz w:val="24"/>
          <w:szCs w:val="24"/>
          <w:lang w:val="en-GB"/>
        </w:rPr>
        <w:t xml:space="preserve"> kg</w:t>
      </w:r>
      <w:r w:rsidR="00D30A9B" w:rsidRPr="00250FF0">
        <w:rPr>
          <w:rFonts w:ascii="Times New Roman" w:hAnsi="Times New Roman"/>
          <w:sz w:val="24"/>
          <w:szCs w:val="24"/>
          <w:vertAlign w:val="superscript"/>
          <w:lang w:val="en-GB"/>
        </w:rPr>
        <w:t>-1</w:t>
      </w:r>
      <w:r w:rsidR="00D30A9B" w:rsidRPr="00250FF0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250FF0">
        <w:rPr>
          <w:rFonts w:ascii="Times New Roman" w:hAnsi="Times New Roman"/>
          <w:sz w:val="24"/>
          <w:szCs w:val="24"/>
          <w:lang w:val="en-GB"/>
        </w:rPr>
        <w:t>sorption distribution coefficient (</w:t>
      </w:r>
      <w:proofErr w:type="spellStart"/>
      <w:r w:rsidRPr="00250FF0">
        <w:rPr>
          <w:rFonts w:ascii="Times New Roman" w:hAnsi="Times New Roman"/>
          <w:i/>
          <w:sz w:val="24"/>
          <w:szCs w:val="24"/>
          <w:lang w:val="en-GB"/>
        </w:rPr>
        <w:t>K</w:t>
      </w:r>
      <w:r w:rsidRPr="001C60C7">
        <w:rPr>
          <w:rFonts w:ascii="Times New Roman" w:hAnsi="Times New Roman"/>
          <w:sz w:val="24"/>
          <w:szCs w:val="24"/>
          <w:vertAlign w:val="subscript"/>
          <w:lang w:val="en-GB"/>
        </w:rPr>
        <w:t>d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>)</w:t>
      </w:r>
      <w:r w:rsidR="00800402" w:rsidRPr="00250FF0">
        <w:rPr>
          <w:rFonts w:ascii="Times New Roman" w:hAnsi="Times New Roman"/>
          <w:sz w:val="24"/>
          <w:szCs w:val="24"/>
          <w:lang w:val="en-GB"/>
        </w:rPr>
        <w:t xml:space="preserve"> is &lt; 5 dm</w:t>
      </w:r>
      <w:r w:rsidR="00800402" w:rsidRPr="00250FF0"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  <w:r w:rsidR="00800402" w:rsidRPr="00250FF0">
        <w:rPr>
          <w:rFonts w:ascii="Times New Roman" w:hAnsi="Times New Roman"/>
          <w:sz w:val="24"/>
          <w:szCs w:val="24"/>
          <w:lang w:val="en-GB"/>
        </w:rPr>
        <w:t xml:space="preserve"> kg</w:t>
      </w:r>
      <w:r w:rsidR="00800402" w:rsidRPr="00250FF0">
        <w:rPr>
          <w:rFonts w:ascii="Times New Roman" w:hAnsi="Times New Roman"/>
          <w:sz w:val="24"/>
          <w:szCs w:val="24"/>
          <w:vertAlign w:val="superscript"/>
          <w:lang w:val="en-GB"/>
        </w:rPr>
        <w:t>-1</w:t>
      </w:r>
      <w:r w:rsidR="00800402" w:rsidRPr="00250FF0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250FF0">
        <w:rPr>
          <w:rFonts w:ascii="Times New Roman" w:hAnsi="Times New Roman"/>
          <w:sz w:val="24"/>
          <w:szCs w:val="24"/>
          <w:lang w:val="en-GB"/>
        </w:rPr>
        <w:t>photolytic half-life (</w:t>
      </w:r>
      <w:r w:rsidRPr="00250FF0">
        <w:rPr>
          <w:rFonts w:ascii="Times New Roman" w:hAnsi="Times New Roman"/>
          <w:i/>
          <w:sz w:val="24"/>
          <w:szCs w:val="24"/>
          <w:lang w:val="en-GB"/>
        </w:rPr>
        <w:t>t</w:t>
      </w:r>
      <w:r w:rsidRPr="00703A5C">
        <w:rPr>
          <w:rFonts w:ascii="Times New Roman" w:hAnsi="Times New Roman"/>
          <w:sz w:val="24"/>
          <w:szCs w:val="24"/>
          <w:vertAlign w:val="subscript"/>
          <w:lang w:val="en-GB"/>
        </w:rPr>
        <w:t>1/2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) </w:t>
      </w:r>
      <w:r w:rsidR="00800402" w:rsidRPr="00250FF0">
        <w:rPr>
          <w:rFonts w:ascii="Times New Roman" w:hAnsi="Times New Roman"/>
          <w:sz w:val="24"/>
          <w:szCs w:val="24"/>
          <w:lang w:val="en-GB"/>
        </w:rPr>
        <w:t xml:space="preserve">is &gt; 3 days,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and microbial degradation </w:t>
      </w:r>
      <w:r w:rsidRPr="00250FF0">
        <w:rPr>
          <w:rFonts w:ascii="Times New Roman" w:hAnsi="Times New Roman"/>
          <w:i/>
          <w:sz w:val="24"/>
          <w:szCs w:val="24"/>
          <w:lang w:val="en-GB"/>
        </w:rPr>
        <w:t>t</w:t>
      </w:r>
      <w:r w:rsidRPr="00703A5C">
        <w:rPr>
          <w:rFonts w:ascii="Times New Roman" w:hAnsi="Times New Roman"/>
          <w:sz w:val="24"/>
          <w:szCs w:val="24"/>
          <w:vertAlign w:val="subscript"/>
          <w:lang w:val="en-GB"/>
        </w:rPr>
        <w:t>1/2</w:t>
      </w:r>
      <w:r w:rsidRPr="00703A5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00402" w:rsidRPr="00250FF0">
        <w:rPr>
          <w:rFonts w:ascii="Times New Roman" w:hAnsi="Times New Roman"/>
          <w:sz w:val="24"/>
          <w:szCs w:val="24"/>
          <w:lang w:val="en-GB"/>
        </w:rPr>
        <w:t xml:space="preserve">is </w:t>
      </w:r>
      <w:r w:rsidRPr="00250FF0">
        <w:rPr>
          <w:rFonts w:ascii="Times New Roman" w:hAnsi="Times New Roman"/>
          <w:sz w:val="24"/>
          <w:szCs w:val="24"/>
          <w:lang w:val="en-GB"/>
        </w:rPr>
        <w:t>&gt;2-3 weeks</w:t>
      </w:r>
      <w:r w:rsidR="00800402" w:rsidRPr="00250FF0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7C683EC1" w14:textId="77777777" w:rsidR="00C11D2D" w:rsidRPr="00250FF0" w:rsidRDefault="00C11D2D" w:rsidP="00C11D2D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However, when clomazone molecules get into soil, their further </w:t>
      </w:r>
      <w:r w:rsidR="00F8380D" w:rsidRPr="00250FF0">
        <w:rPr>
          <w:rFonts w:ascii="Times New Roman" w:hAnsi="Times New Roman"/>
          <w:bCs/>
          <w:sz w:val="24"/>
          <w:szCs w:val="24"/>
          <w:lang w:val="en-GB"/>
        </w:rPr>
        <w:t>behaviour</w:t>
      </w:r>
      <w:r w:rsidRPr="00250FF0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will depend on many factors, including </w:t>
      </w:r>
      <w:r w:rsidR="0096697F" w:rsidRPr="00250FF0">
        <w:rPr>
          <w:rFonts w:ascii="Times New Roman" w:hAnsi="Times New Roman"/>
          <w:bCs/>
          <w:sz w:val="24"/>
          <w:szCs w:val="24"/>
          <w:lang w:val="en-GB"/>
        </w:rPr>
        <w:t xml:space="preserve">the 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type and characteristics of the soil, frequency and quantity of precipitation and irrigation, temperature, etc. Among all fate processes </w:t>
      </w:r>
      <w:r w:rsidR="00100A3D" w:rsidRPr="00250FF0">
        <w:rPr>
          <w:rFonts w:ascii="Times New Roman" w:hAnsi="Times New Roman"/>
          <w:bCs/>
          <w:sz w:val="24"/>
          <w:szCs w:val="24"/>
          <w:lang w:val="en-GB"/>
        </w:rPr>
        <w:t>in which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clomazone </w:t>
      </w:r>
      <w:r w:rsidR="00100A3D" w:rsidRPr="00250FF0">
        <w:rPr>
          <w:rFonts w:ascii="Times New Roman" w:hAnsi="Times New Roman"/>
          <w:bCs/>
          <w:sz w:val="24"/>
          <w:szCs w:val="24"/>
          <w:lang w:val="en-GB"/>
        </w:rPr>
        <w:t>may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participate, sorption-desorption are the most important because they determine</w:t>
      </w:r>
      <w:r w:rsidR="00100A3D" w:rsidRPr="00250FF0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>clomazone amount</w:t>
      </w:r>
      <w:r w:rsidR="00100A3D" w:rsidRPr="00250FF0">
        <w:rPr>
          <w:rFonts w:ascii="Times New Roman" w:hAnsi="Times New Roman"/>
          <w:bCs/>
          <w:sz w:val="24"/>
          <w:szCs w:val="24"/>
          <w:lang w:val="en-GB"/>
        </w:rPr>
        <w:t>s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in soil solution, and consequently</w:t>
      </w:r>
      <w:r w:rsidRPr="00250FF0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could affect its mobility, degradation and plant uptake, since these processes </w:t>
      </w:r>
      <w:r w:rsidR="00100A3D" w:rsidRPr="00250FF0">
        <w:rPr>
          <w:rFonts w:ascii="Times New Roman" w:hAnsi="Times New Roman"/>
          <w:bCs/>
          <w:sz w:val="24"/>
          <w:szCs w:val="24"/>
          <w:lang w:val="en-GB"/>
        </w:rPr>
        <w:t>involve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only the free (non-</w:t>
      </w:r>
      <w:proofErr w:type="spellStart"/>
      <w:r w:rsidRPr="00250FF0">
        <w:rPr>
          <w:rFonts w:ascii="Times New Roman" w:hAnsi="Times New Roman"/>
          <w:bCs/>
          <w:sz w:val="24"/>
          <w:szCs w:val="24"/>
          <w:lang w:val="en-GB"/>
        </w:rPr>
        <w:t>sorbed</w:t>
      </w:r>
      <w:proofErr w:type="spellEnd"/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) molecules fraction. </w:t>
      </w:r>
    </w:p>
    <w:p w14:paraId="463C78C2" w14:textId="77777777" w:rsidR="00C11D2D" w:rsidRPr="00250FF0" w:rsidRDefault="00C11D2D" w:rsidP="00C11D2D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250FF0">
        <w:rPr>
          <w:rFonts w:ascii="Times New Roman" w:hAnsi="Times New Roman"/>
          <w:bCs/>
          <w:sz w:val="24"/>
          <w:szCs w:val="24"/>
          <w:lang w:val="en-GB"/>
        </w:rPr>
        <w:t>Considering that soils are a very heterogeneous mixture</w:t>
      </w:r>
      <w:r w:rsidR="002B34AA" w:rsidRPr="00250FF0">
        <w:rPr>
          <w:rFonts w:ascii="Times New Roman" w:hAnsi="Times New Roman"/>
          <w:bCs/>
          <w:sz w:val="24"/>
          <w:szCs w:val="24"/>
          <w:lang w:val="en-GB"/>
        </w:rPr>
        <w:t>,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consisting of mineral and organic components </w:t>
      </w:r>
      <w:r w:rsidR="002B34AA" w:rsidRPr="00250FF0">
        <w:rPr>
          <w:rFonts w:ascii="Times New Roman" w:hAnsi="Times New Roman"/>
          <w:bCs/>
          <w:sz w:val="24"/>
          <w:szCs w:val="24"/>
          <w:lang w:val="en-GB"/>
        </w:rPr>
        <w:t>with variable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composition and surface activity</w:t>
      </w:r>
      <w:r w:rsidR="00963A77" w:rsidRPr="00250FF0">
        <w:rPr>
          <w:rFonts w:ascii="Times New Roman" w:hAnsi="Times New Roman"/>
          <w:bCs/>
          <w:sz w:val="24"/>
          <w:szCs w:val="24"/>
          <w:lang w:val="en-GB"/>
        </w:rPr>
        <w:t xml:space="preserve"> which 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participate in </w:t>
      </w:r>
      <w:r w:rsidR="00963A77" w:rsidRPr="00250FF0">
        <w:rPr>
          <w:rFonts w:ascii="Times New Roman" w:hAnsi="Times New Roman"/>
          <w:bCs/>
          <w:sz w:val="24"/>
          <w:szCs w:val="24"/>
          <w:lang w:val="en-GB"/>
        </w:rPr>
        <w:t xml:space="preserve">the 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>binding of pesticides, know</w:t>
      </w:r>
      <w:r w:rsidR="00963A77" w:rsidRPr="00250FF0">
        <w:rPr>
          <w:rFonts w:ascii="Times New Roman" w:hAnsi="Times New Roman"/>
          <w:bCs/>
          <w:sz w:val="24"/>
          <w:szCs w:val="24"/>
          <w:lang w:val="en-GB"/>
        </w:rPr>
        <w:t xml:space="preserve">ing 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their adsorption-desorption </w:t>
      </w:r>
      <w:r w:rsidR="00F8380D" w:rsidRPr="00250FF0">
        <w:rPr>
          <w:rFonts w:ascii="Times New Roman" w:hAnsi="Times New Roman"/>
          <w:bCs/>
          <w:sz w:val="24"/>
          <w:szCs w:val="24"/>
          <w:lang w:val="en-GB"/>
        </w:rPr>
        <w:t>behaviour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in various soil types is very important for understanding  and predicting sorption mechanisms, persistence, mobility and other fate processes in soil environments.  </w:t>
      </w:r>
    </w:p>
    <w:p w14:paraId="18F1940E" w14:textId="78243CF5" w:rsidR="00C11D2D" w:rsidRPr="00250FF0" w:rsidRDefault="00C11D2D" w:rsidP="00C11D2D">
      <w:pPr>
        <w:autoSpaceDE w:val="0"/>
        <w:autoSpaceDN w:val="0"/>
        <w:adjustRightInd w:val="0"/>
        <w:spacing w:after="0" w:line="360" w:lineRule="auto"/>
        <w:jc w:val="both"/>
        <w:rPr>
          <w:rStyle w:val="st"/>
          <w:rFonts w:ascii="Times New Roman" w:hAnsi="Times New Roman"/>
          <w:sz w:val="24"/>
          <w:szCs w:val="24"/>
          <w:lang w:val="en-GB"/>
        </w:rPr>
      </w:pP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Available literature data indicate that clomazone sorption to soil </w:t>
      </w:r>
      <w:r w:rsidR="0055582B" w:rsidRPr="00250FF0">
        <w:rPr>
          <w:rFonts w:ascii="Times New Roman" w:hAnsi="Times New Roman"/>
          <w:bCs/>
          <w:sz w:val="24"/>
          <w:szCs w:val="24"/>
          <w:lang w:val="en-GB"/>
        </w:rPr>
        <w:t>occurs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either through organic carbon (OC</w:t>
      </w:r>
      <w:proofErr w:type="gramStart"/>
      <w:r w:rsidRPr="00250FF0">
        <w:rPr>
          <w:rFonts w:ascii="Times New Roman" w:hAnsi="Times New Roman"/>
          <w:bCs/>
          <w:sz w:val="24"/>
          <w:szCs w:val="24"/>
          <w:lang w:val="en-GB"/>
        </w:rPr>
        <w:t>)</w:t>
      </w:r>
      <w:r w:rsidR="001E390B" w:rsidRPr="00250FF0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6,7</w:t>
      </w:r>
      <w:proofErr w:type="gramEnd"/>
      <w:r w:rsidR="001E390B" w:rsidRPr="00250FF0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250FF0">
        <w:rPr>
          <w:rFonts w:ascii="Times New Roman" w:eastAsia="AdvP6F00" w:hAnsi="Times New Roman"/>
          <w:sz w:val="24"/>
          <w:szCs w:val="24"/>
          <w:lang w:val="en-GB"/>
        </w:rPr>
        <w:t xml:space="preserve">or </w:t>
      </w:r>
      <w:r w:rsidR="0055582B" w:rsidRPr="00250FF0">
        <w:rPr>
          <w:rFonts w:ascii="Times New Roman" w:eastAsia="AdvP6F00" w:hAnsi="Times New Roman"/>
          <w:sz w:val="24"/>
          <w:szCs w:val="24"/>
          <w:lang w:val="en-GB"/>
        </w:rPr>
        <w:t>both</w:t>
      </w:r>
      <w:r w:rsidRPr="00250FF0">
        <w:rPr>
          <w:rFonts w:ascii="Times New Roman" w:eastAsia="AdvP6F00" w:hAnsi="Times New Roman"/>
          <w:sz w:val="24"/>
          <w:szCs w:val="24"/>
          <w:lang w:val="en-GB"/>
        </w:rPr>
        <w:t xml:space="preserve"> OC and clay fractions of 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>soil</w:t>
      </w:r>
      <w:r w:rsidR="001E390B" w:rsidRPr="00250FF0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8</w:t>
      </w:r>
      <w:r w:rsidRPr="00250FF0">
        <w:rPr>
          <w:rFonts w:ascii="Times New Roman" w:eastAsia="AdvP6F00" w:hAnsi="Times New Roman"/>
          <w:noProof/>
          <w:sz w:val="24"/>
          <w:szCs w:val="24"/>
          <w:lang w:val="en-GB"/>
        </w:rPr>
        <w:t xml:space="preserve">. Additionaly, </w:t>
      </w:r>
      <w:r w:rsidR="002B0FA0" w:rsidRPr="00250FF0">
        <w:rPr>
          <w:rStyle w:val="st"/>
          <w:rFonts w:ascii="Times New Roman" w:hAnsi="Times New Roman"/>
          <w:sz w:val="24"/>
          <w:szCs w:val="24"/>
          <w:lang w:val="en-GB"/>
        </w:rPr>
        <w:t>some researchers</w:t>
      </w:r>
      <w:r w:rsidR="00072BAC" w:rsidRPr="00250FF0">
        <w:rPr>
          <w:rStyle w:val="st"/>
          <w:rFonts w:ascii="Times New Roman" w:hAnsi="Times New Roman"/>
          <w:sz w:val="24"/>
          <w:szCs w:val="24"/>
          <w:lang w:val="en-GB"/>
        </w:rPr>
        <w:t xml:space="preserve"> </w:t>
      </w:r>
      <w:r w:rsidR="0055582B" w:rsidRPr="00250FF0">
        <w:rPr>
          <w:rStyle w:val="st"/>
          <w:rFonts w:ascii="Times New Roman" w:hAnsi="Times New Roman"/>
          <w:sz w:val="24"/>
          <w:szCs w:val="24"/>
          <w:lang w:val="en-GB"/>
        </w:rPr>
        <w:t>have reported</w:t>
      </w:r>
      <w:r w:rsidRPr="00250FF0">
        <w:rPr>
          <w:rStyle w:val="st"/>
          <w:rFonts w:ascii="Times New Roman" w:hAnsi="Times New Roman"/>
          <w:sz w:val="24"/>
          <w:szCs w:val="24"/>
          <w:lang w:val="en-GB"/>
        </w:rPr>
        <w:t xml:space="preserve"> that soils collected from sites with a history of burned vegetation events </w:t>
      </w:r>
      <w:r w:rsidR="0055582B" w:rsidRPr="00250FF0">
        <w:rPr>
          <w:rStyle w:val="st"/>
          <w:rFonts w:ascii="Times New Roman" w:hAnsi="Times New Roman"/>
          <w:sz w:val="24"/>
          <w:szCs w:val="24"/>
          <w:lang w:val="en-GB"/>
        </w:rPr>
        <w:t>had higher clomazone retention</w:t>
      </w:r>
      <w:r w:rsidRPr="00250FF0">
        <w:rPr>
          <w:rStyle w:val="st"/>
          <w:rFonts w:ascii="Times New Roman" w:hAnsi="Times New Roman"/>
          <w:sz w:val="24"/>
          <w:szCs w:val="24"/>
          <w:lang w:val="en-GB"/>
        </w:rPr>
        <w:t>.</w:t>
      </w:r>
      <w:r w:rsidR="002B0FA0" w:rsidRPr="00250FF0">
        <w:rPr>
          <w:rStyle w:val="st"/>
          <w:rFonts w:ascii="Times New Roman" w:hAnsi="Times New Roman"/>
          <w:sz w:val="24"/>
          <w:szCs w:val="24"/>
          <w:vertAlign w:val="superscript"/>
          <w:lang w:val="en-GB"/>
        </w:rPr>
        <w:t>6</w:t>
      </w:r>
      <w:proofErr w:type="gramStart"/>
      <w:r w:rsidR="002B0FA0" w:rsidRPr="00250FF0">
        <w:rPr>
          <w:rStyle w:val="st"/>
          <w:rFonts w:ascii="Times New Roman" w:hAnsi="Times New Roman"/>
          <w:sz w:val="24"/>
          <w:szCs w:val="24"/>
          <w:vertAlign w:val="superscript"/>
          <w:lang w:val="en-GB"/>
        </w:rPr>
        <w:t>,9</w:t>
      </w:r>
      <w:proofErr w:type="gramEnd"/>
      <w:r w:rsidRPr="00250FF0">
        <w:rPr>
          <w:rStyle w:val="st"/>
          <w:rFonts w:ascii="Times New Roman" w:hAnsi="Times New Roman"/>
          <w:sz w:val="24"/>
          <w:szCs w:val="24"/>
          <w:lang w:val="en-GB"/>
        </w:rPr>
        <w:t xml:space="preserve"> </w:t>
      </w:r>
      <w:r w:rsidR="00661DD5" w:rsidRPr="00250FF0">
        <w:rPr>
          <w:rStyle w:val="st"/>
          <w:rFonts w:ascii="Times New Roman" w:hAnsi="Times New Roman"/>
          <w:sz w:val="24"/>
          <w:szCs w:val="24"/>
          <w:lang w:val="en-GB"/>
        </w:rPr>
        <w:t>D</w:t>
      </w:r>
      <w:r w:rsidRPr="00250FF0">
        <w:rPr>
          <w:rStyle w:val="st"/>
          <w:rFonts w:ascii="Times New Roman" w:hAnsi="Times New Roman"/>
          <w:sz w:val="24"/>
          <w:szCs w:val="24"/>
          <w:lang w:val="en-GB"/>
        </w:rPr>
        <w:t xml:space="preserve">esorption </w:t>
      </w:r>
      <w:r w:rsidR="00661DD5" w:rsidRPr="00250FF0">
        <w:rPr>
          <w:rStyle w:val="st"/>
          <w:rFonts w:ascii="Times New Roman" w:hAnsi="Times New Roman"/>
          <w:sz w:val="24"/>
          <w:szCs w:val="24"/>
          <w:lang w:val="en-GB"/>
        </w:rPr>
        <w:t xml:space="preserve">of pesticides </w:t>
      </w:r>
      <w:r w:rsidRPr="00250FF0">
        <w:rPr>
          <w:rStyle w:val="st"/>
          <w:rFonts w:ascii="Times New Roman" w:hAnsi="Times New Roman"/>
          <w:sz w:val="24"/>
          <w:szCs w:val="24"/>
          <w:lang w:val="en-GB"/>
        </w:rPr>
        <w:t xml:space="preserve">is also </w:t>
      </w:r>
      <w:r w:rsidR="00661DD5" w:rsidRPr="00250FF0">
        <w:rPr>
          <w:rStyle w:val="st"/>
          <w:rFonts w:ascii="Times New Roman" w:hAnsi="Times New Roman"/>
          <w:sz w:val="24"/>
          <w:szCs w:val="24"/>
          <w:lang w:val="en-GB"/>
        </w:rPr>
        <w:t xml:space="preserve">a </w:t>
      </w:r>
      <w:r w:rsidRPr="00250FF0">
        <w:rPr>
          <w:rStyle w:val="st"/>
          <w:rFonts w:ascii="Times New Roman" w:hAnsi="Times New Roman"/>
          <w:sz w:val="24"/>
          <w:szCs w:val="24"/>
          <w:lang w:val="en-GB"/>
        </w:rPr>
        <w:t xml:space="preserve">very important </w:t>
      </w:r>
      <w:r w:rsidR="00661DD5" w:rsidRPr="00250FF0">
        <w:rPr>
          <w:rStyle w:val="st"/>
          <w:rFonts w:ascii="Times New Roman" w:hAnsi="Times New Roman"/>
          <w:sz w:val="24"/>
          <w:szCs w:val="24"/>
          <w:lang w:val="en-GB"/>
        </w:rPr>
        <w:t xml:space="preserve">process </w:t>
      </w:r>
      <w:r w:rsidRPr="00250FF0">
        <w:rPr>
          <w:rStyle w:val="st"/>
          <w:rFonts w:ascii="Times New Roman" w:hAnsi="Times New Roman"/>
          <w:sz w:val="24"/>
          <w:szCs w:val="24"/>
          <w:lang w:val="en-GB"/>
        </w:rPr>
        <w:t>because it determines the rate and amount of pesticide</w:t>
      </w:r>
      <w:r w:rsidR="00661DD5" w:rsidRPr="00250FF0">
        <w:rPr>
          <w:rStyle w:val="st"/>
          <w:rFonts w:ascii="Times New Roman" w:hAnsi="Times New Roman"/>
          <w:sz w:val="24"/>
          <w:szCs w:val="24"/>
          <w:lang w:val="en-GB"/>
        </w:rPr>
        <w:t>s</w:t>
      </w:r>
      <w:r w:rsidRPr="00250FF0">
        <w:rPr>
          <w:rStyle w:val="st"/>
          <w:rFonts w:ascii="Times New Roman" w:hAnsi="Times New Roman"/>
          <w:sz w:val="24"/>
          <w:szCs w:val="24"/>
          <w:lang w:val="en-GB"/>
        </w:rPr>
        <w:t xml:space="preserve"> that could be release from soil</w:t>
      </w:r>
      <w:r w:rsidR="00661DD5" w:rsidRPr="00250FF0">
        <w:rPr>
          <w:rStyle w:val="st"/>
          <w:rFonts w:ascii="Times New Roman" w:hAnsi="Times New Roman"/>
          <w:sz w:val="24"/>
          <w:szCs w:val="24"/>
          <w:lang w:val="en-GB"/>
        </w:rPr>
        <w:t>,</w:t>
      </w:r>
      <w:r w:rsidRPr="00250FF0">
        <w:rPr>
          <w:rStyle w:val="st"/>
          <w:rFonts w:ascii="Times New Roman" w:hAnsi="Times New Roman"/>
          <w:sz w:val="24"/>
          <w:szCs w:val="24"/>
          <w:lang w:val="en-GB"/>
        </w:rPr>
        <w:t xml:space="preserve"> and </w:t>
      </w:r>
      <w:r w:rsidR="00661DD5" w:rsidRPr="00250FF0">
        <w:rPr>
          <w:rStyle w:val="st"/>
          <w:rFonts w:ascii="Times New Roman" w:hAnsi="Times New Roman"/>
          <w:sz w:val="24"/>
          <w:szCs w:val="24"/>
          <w:lang w:val="en-GB"/>
        </w:rPr>
        <w:t xml:space="preserve">their </w:t>
      </w:r>
      <w:r w:rsidRPr="00250FF0">
        <w:rPr>
          <w:rStyle w:val="st"/>
          <w:rFonts w:ascii="Times New Roman" w:hAnsi="Times New Roman"/>
          <w:sz w:val="24"/>
          <w:szCs w:val="24"/>
          <w:lang w:val="en-GB"/>
        </w:rPr>
        <w:t>potential mobility in soil</w:t>
      </w:r>
      <w:r w:rsidR="00562A60" w:rsidRPr="00250FF0">
        <w:rPr>
          <w:rStyle w:val="st"/>
          <w:rFonts w:ascii="Times New Roman" w:hAnsi="Times New Roman"/>
          <w:sz w:val="24"/>
          <w:szCs w:val="24"/>
          <w:lang w:val="en-GB"/>
        </w:rPr>
        <w:t>.</w:t>
      </w:r>
      <w:r w:rsidR="008211BD" w:rsidRPr="00250FF0">
        <w:rPr>
          <w:rStyle w:val="st"/>
          <w:rFonts w:ascii="Times New Roman" w:hAnsi="Times New Roman"/>
          <w:sz w:val="24"/>
          <w:szCs w:val="24"/>
          <w:vertAlign w:val="superscript"/>
          <w:lang w:val="en-GB"/>
        </w:rPr>
        <w:t>10,11</w:t>
      </w:r>
      <w:r w:rsidR="008211BD" w:rsidRPr="00250FF0">
        <w:rPr>
          <w:rStyle w:val="st"/>
          <w:rFonts w:ascii="Times New Roman" w:hAnsi="Times New Roman"/>
          <w:sz w:val="24"/>
          <w:szCs w:val="24"/>
          <w:lang w:val="en-GB"/>
        </w:rPr>
        <w:t xml:space="preserve"> </w:t>
      </w:r>
      <w:r w:rsidR="00B36CCB" w:rsidRPr="00250FF0">
        <w:rPr>
          <w:rStyle w:val="st"/>
          <w:rFonts w:ascii="Times New Roman" w:hAnsi="Times New Roman"/>
          <w:sz w:val="24"/>
          <w:szCs w:val="24"/>
          <w:lang w:val="en-GB"/>
        </w:rPr>
        <w:t xml:space="preserve">However, there is only one report </w:t>
      </w:r>
      <w:r w:rsidRPr="00250FF0">
        <w:rPr>
          <w:rStyle w:val="st"/>
          <w:rFonts w:ascii="Times New Roman" w:hAnsi="Times New Roman"/>
          <w:sz w:val="24"/>
          <w:szCs w:val="24"/>
          <w:lang w:val="en-GB"/>
        </w:rPr>
        <w:t xml:space="preserve">to our knowledge </w:t>
      </w:r>
      <w:r w:rsidR="00B36CCB" w:rsidRPr="00250FF0">
        <w:rPr>
          <w:rStyle w:val="st"/>
          <w:rFonts w:ascii="Times New Roman" w:hAnsi="Times New Roman"/>
          <w:sz w:val="24"/>
          <w:szCs w:val="24"/>
          <w:lang w:val="en-GB"/>
        </w:rPr>
        <w:t xml:space="preserve">that has focused on the </w:t>
      </w:r>
      <w:r w:rsidRPr="00250FF0">
        <w:rPr>
          <w:rStyle w:val="st"/>
          <w:rFonts w:ascii="Times New Roman" w:hAnsi="Times New Roman"/>
          <w:sz w:val="24"/>
          <w:szCs w:val="24"/>
          <w:lang w:val="en-GB"/>
        </w:rPr>
        <w:t xml:space="preserve">desorption </w:t>
      </w:r>
      <w:r w:rsidR="00F8380D" w:rsidRPr="00250FF0">
        <w:rPr>
          <w:rStyle w:val="st"/>
          <w:rFonts w:ascii="Times New Roman" w:hAnsi="Times New Roman"/>
          <w:sz w:val="24"/>
          <w:szCs w:val="24"/>
          <w:lang w:val="en-GB"/>
        </w:rPr>
        <w:t>behaviour</w:t>
      </w:r>
      <w:r w:rsidRPr="00250FF0">
        <w:rPr>
          <w:rStyle w:val="st"/>
          <w:rFonts w:ascii="Times New Roman" w:hAnsi="Times New Roman"/>
          <w:sz w:val="24"/>
          <w:szCs w:val="24"/>
          <w:lang w:val="en-GB"/>
        </w:rPr>
        <w:t xml:space="preserve"> of clomazone in this medium</w:t>
      </w:r>
      <w:r w:rsidR="007F1425" w:rsidRPr="00250FF0">
        <w:rPr>
          <w:rStyle w:val="st"/>
          <w:rFonts w:ascii="Times New Roman" w:hAnsi="Times New Roman"/>
          <w:sz w:val="24"/>
          <w:szCs w:val="24"/>
          <w:vertAlign w:val="superscript"/>
          <w:lang w:val="en-GB"/>
        </w:rPr>
        <w:t>6</w:t>
      </w:r>
      <w:r w:rsidRPr="00250FF0">
        <w:rPr>
          <w:rStyle w:val="st"/>
          <w:rFonts w:ascii="Times New Roman" w:hAnsi="Times New Roman"/>
          <w:sz w:val="24"/>
          <w:szCs w:val="24"/>
          <w:lang w:val="en-GB"/>
        </w:rPr>
        <w:t xml:space="preserve">. </w:t>
      </w:r>
      <w:r w:rsidR="008A0E8E" w:rsidRPr="00250FF0">
        <w:rPr>
          <w:rStyle w:val="st"/>
          <w:rFonts w:ascii="Times New Roman" w:hAnsi="Times New Roman"/>
          <w:sz w:val="24"/>
          <w:szCs w:val="24"/>
          <w:lang w:val="en-GB"/>
        </w:rPr>
        <w:t xml:space="preserve">Moreover, that </w:t>
      </w:r>
      <w:r w:rsidRPr="00250FF0">
        <w:rPr>
          <w:rStyle w:val="st"/>
          <w:rFonts w:ascii="Times New Roman" w:hAnsi="Times New Roman"/>
          <w:sz w:val="24"/>
          <w:szCs w:val="24"/>
          <w:lang w:val="en-GB"/>
        </w:rPr>
        <w:t xml:space="preserve">study and </w:t>
      </w:r>
      <w:r w:rsidRPr="00250FF0">
        <w:rPr>
          <w:rStyle w:val="st"/>
          <w:rFonts w:ascii="Times New Roman" w:hAnsi="Times New Roman"/>
          <w:sz w:val="24"/>
          <w:szCs w:val="24"/>
          <w:lang w:val="en-GB"/>
        </w:rPr>
        <w:lastRenderedPageBreak/>
        <w:t xml:space="preserve">all </w:t>
      </w:r>
      <w:r w:rsidR="008A0E8E" w:rsidRPr="00250FF0">
        <w:rPr>
          <w:rStyle w:val="st"/>
          <w:rFonts w:ascii="Times New Roman" w:hAnsi="Times New Roman"/>
          <w:sz w:val="24"/>
          <w:szCs w:val="24"/>
          <w:lang w:val="en-GB"/>
        </w:rPr>
        <w:t xml:space="preserve">other </w:t>
      </w:r>
      <w:r w:rsidRPr="00250FF0">
        <w:rPr>
          <w:rStyle w:val="st"/>
          <w:rFonts w:ascii="Times New Roman" w:hAnsi="Times New Roman"/>
          <w:sz w:val="24"/>
          <w:szCs w:val="24"/>
          <w:lang w:val="en-GB"/>
        </w:rPr>
        <w:t xml:space="preserve">previously mentioned </w:t>
      </w:r>
      <w:r w:rsidR="008A0E8E" w:rsidRPr="00250FF0">
        <w:rPr>
          <w:rStyle w:val="st"/>
          <w:rFonts w:ascii="Times New Roman" w:hAnsi="Times New Roman"/>
          <w:sz w:val="24"/>
          <w:szCs w:val="24"/>
          <w:lang w:val="en-GB"/>
        </w:rPr>
        <w:t xml:space="preserve">references have only revealed the </w:t>
      </w:r>
      <w:r w:rsidRPr="00250FF0">
        <w:rPr>
          <w:rStyle w:val="st"/>
          <w:rFonts w:ascii="Times New Roman" w:hAnsi="Times New Roman"/>
          <w:sz w:val="24"/>
          <w:szCs w:val="24"/>
          <w:lang w:val="en-GB"/>
        </w:rPr>
        <w:t xml:space="preserve">adsorption </w:t>
      </w:r>
      <w:r w:rsidR="00F8380D" w:rsidRPr="00250FF0">
        <w:rPr>
          <w:rStyle w:val="st"/>
          <w:rFonts w:ascii="Times New Roman" w:hAnsi="Times New Roman"/>
          <w:sz w:val="24"/>
          <w:szCs w:val="24"/>
          <w:lang w:val="en-GB"/>
        </w:rPr>
        <w:t>behaviour</w:t>
      </w:r>
      <w:r w:rsidRPr="00250FF0">
        <w:rPr>
          <w:rStyle w:val="st"/>
          <w:rFonts w:ascii="Times New Roman" w:hAnsi="Times New Roman"/>
          <w:sz w:val="24"/>
          <w:szCs w:val="24"/>
          <w:lang w:val="en-GB"/>
        </w:rPr>
        <w:t xml:space="preserve"> of clomazone </w:t>
      </w:r>
      <w:r w:rsidR="008A0E8E" w:rsidRPr="00250FF0">
        <w:rPr>
          <w:rStyle w:val="st"/>
          <w:rFonts w:ascii="Times New Roman" w:hAnsi="Times New Roman"/>
          <w:sz w:val="24"/>
          <w:szCs w:val="24"/>
          <w:lang w:val="en-GB"/>
        </w:rPr>
        <w:t>in</w:t>
      </w:r>
      <w:r w:rsidRPr="00250FF0">
        <w:rPr>
          <w:rStyle w:val="st"/>
          <w:rFonts w:ascii="Times New Roman" w:hAnsi="Times New Roman"/>
          <w:sz w:val="24"/>
          <w:szCs w:val="24"/>
          <w:lang w:val="en-GB"/>
        </w:rPr>
        <w:t xml:space="preserve"> soils collected from rice field</w:t>
      </w:r>
      <w:r w:rsidR="008A0E8E" w:rsidRPr="00250FF0">
        <w:rPr>
          <w:rStyle w:val="st"/>
          <w:rFonts w:ascii="Times New Roman" w:hAnsi="Times New Roman"/>
          <w:sz w:val="24"/>
          <w:szCs w:val="24"/>
          <w:lang w:val="en-GB"/>
        </w:rPr>
        <w:t xml:space="preserve">s in the </w:t>
      </w:r>
      <w:r w:rsidRPr="00250FF0">
        <w:rPr>
          <w:rStyle w:val="st"/>
          <w:rFonts w:ascii="Times New Roman" w:hAnsi="Times New Roman"/>
          <w:sz w:val="24"/>
          <w:szCs w:val="24"/>
          <w:lang w:val="en-GB"/>
        </w:rPr>
        <w:t xml:space="preserve">USA or China. </w:t>
      </w:r>
    </w:p>
    <w:p w14:paraId="06C98DF1" w14:textId="77777777" w:rsidR="00C11D2D" w:rsidRPr="00250FF0" w:rsidRDefault="00C11D2D" w:rsidP="00C11D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dvP6F00" w:hAnsi="Times New Roman"/>
          <w:b/>
          <w:sz w:val="24"/>
          <w:szCs w:val="24"/>
          <w:lang w:val="en-GB"/>
        </w:rPr>
      </w:pPr>
      <w:r w:rsidRPr="00250FF0">
        <w:rPr>
          <w:rFonts w:ascii="Times New Roman" w:eastAsia="AdvP6F00" w:hAnsi="Times New Roman"/>
          <w:sz w:val="24"/>
          <w:szCs w:val="24"/>
          <w:lang w:val="en-GB"/>
        </w:rPr>
        <w:t xml:space="preserve">Considering the agricultural importance and potential environmental impact of clomazone, the aim of this study was to determine its adsorption-desorption </w:t>
      </w:r>
      <w:r w:rsidR="00F8380D" w:rsidRPr="00250FF0">
        <w:rPr>
          <w:rFonts w:ascii="Times New Roman" w:eastAsia="AdvP6F00" w:hAnsi="Times New Roman"/>
          <w:sz w:val="24"/>
          <w:szCs w:val="24"/>
          <w:lang w:val="en-GB"/>
        </w:rPr>
        <w:t>behaviour</w:t>
      </w:r>
      <w:r w:rsidRPr="00250FF0">
        <w:rPr>
          <w:rFonts w:ascii="Times New Roman" w:eastAsia="AdvP6F00" w:hAnsi="Times New Roman"/>
          <w:sz w:val="24"/>
          <w:szCs w:val="24"/>
          <w:lang w:val="en-GB"/>
        </w:rPr>
        <w:t xml:space="preserve"> in two Serbian widespr</w:t>
      </w:r>
      <w:r w:rsidR="00713FE2" w:rsidRPr="00250FF0">
        <w:rPr>
          <w:rFonts w:ascii="Times New Roman" w:eastAsia="AdvP6F00" w:hAnsi="Times New Roman"/>
          <w:sz w:val="24"/>
          <w:szCs w:val="24"/>
          <w:lang w:val="en-GB"/>
        </w:rPr>
        <w:t>ead types of agricultural soils</w:t>
      </w:r>
      <w:r w:rsidRPr="00250FF0">
        <w:rPr>
          <w:rFonts w:ascii="Times New Roman" w:eastAsia="AdvP6F00" w:hAnsi="Times New Roman"/>
          <w:sz w:val="24"/>
          <w:szCs w:val="24"/>
          <w:lang w:val="en-GB"/>
        </w:rPr>
        <w:t xml:space="preserve"> described in </w:t>
      </w:r>
      <w:r w:rsidR="00713FE2" w:rsidRPr="00250FF0">
        <w:rPr>
          <w:rFonts w:ascii="Times New Roman" w:eastAsia="AdvP6F00" w:hAnsi="Times New Roman"/>
          <w:sz w:val="24"/>
          <w:szCs w:val="24"/>
          <w:lang w:val="en-GB"/>
        </w:rPr>
        <w:t xml:space="preserve">the </w:t>
      </w:r>
      <w:r w:rsidRPr="00250FF0">
        <w:rPr>
          <w:rFonts w:ascii="Times New Roman" w:eastAsia="AdvP6F00" w:hAnsi="Times New Roman"/>
          <w:sz w:val="24"/>
          <w:szCs w:val="24"/>
          <w:lang w:val="en-GB"/>
        </w:rPr>
        <w:t>WRB 2015 soil classification</w:t>
      </w:r>
      <w:r w:rsidR="007F1425" w:rsidRPr="00250FF0">
        <w:rPr>
          <w:rFonts w:ascii="Times New Roman" w:eastAsia="AdvP6F00" w:hAnsi="Times New Roman"/>
          <w:sz w:val="24"/>
          <w:szCs w:val="24"/>
          <w:vertAlign w:val="superscript"/>
          <w:lang w:val="en-GB"/>
        </w:rPr>
        <w:t>12</w:t>
      </w:r>
      <w:r w:rsidR="007F1425" w:rsidRPr="00250FF0">
        <w:rPr>
          <w:rFonts w:ascii="Times New Roman" w:eastAsia="AdvP6F00" w:hAnsi="Times New Roman"/>
          <w:sz w:val="24"/>
          <w:szCs w:val="24"/>
          <w:lang w:val="en-GB"/>
        </w:rPr>
        <w:t xml:space="preserve"> </w:t>
      </w:r>
      <w:r w:rsidRPr="00250FF0">
        <w:rPr>
          <w:rFonts w:ascii="Times New Roman" w:eastAsia="AdvP6F00" w:hAnsi="Times New Roman"/>
          <w:sz w:val="24"/>
          <w:szCs w:val="24"/>
          <w:lang w:val="en-GB"/>
        </w:rPr>
        <w:t xml:space="preserve">as 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Regosol and Chernozem reference soil groups. </w:t>
      </w:r>
      <w:r w:rsidR="00713FE2" w:rsidRPr="00250FF0">
        <w:rPr>
          <w:rFonts w:ascii="Times New Roman" w:hAnsi="Times New Roman"/>
          <w:bCs/>
          <w:sz w:val="24"/>
          <w:szCs w:val="24"/>
          <w:lang w:val="en-GB"/>
        </w:rPr>
        <w:t>Since the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selected soils differ </w:t>
      </w:r>
      <w:r w:rsidR="00713FE2" w:rsidRPr="00250FF0">
        <w:rPr>
          <w:rFonts w:ascii="Times New Roman" w:hAnsi="Times New Roman"/>
          <w:bCs/>
          <w:sz w:val="24"/>
          <w:szCs w:val="24"/>
          <w:lang w:val="en-GB"/>
        </w:rPr>
        <w:t xml:space="preserve">in 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OC and clay </w:t>
      </w:r>
      <w:r w:rsidR="00713FE2" w:rsidRPr="00250FF0">
        <w:rPr>
          <w:rFonts w:ascii="Times New Roman" w:hAnsi="Times New Roman"/>
          <w:bCs/>
          <w:sz w:val="24"/>
          <w:szCs w:val="24"/>
          <w:lang w:val="en-GB"/>
        </w:rPr>
        <w:t xml:space="preserve">contents 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as possible sorption fractions of soils, the objective of this study was also to determine whether and to what extent they participate in </w:t>
      </w:r>
      <w:r w:rsidR="00713FE2" w:rsidRPr="00250FF0">
        <w:rPr>
          <w:rFonts w:ascii="Times New Roman" w:hAnsi="Times New Roman"/>
          <w:bCs/>
          <w:sz w:val="24"/>
          <w:szCs w:val="24"/>
          <w:lang w:val="en-GB"/>
        </w:rPr>
        <w:t xml:space="preserve">the 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>retention and release of clomazone on/from this medium, as well as to determine to what extent diff</w:t>
      </w:r>
      <w:r w:rsidR="00713FE2" w:rsidRPr="00250FF0">
        <w:rPr>
          <w:rFonts w:ascii="Times New Roman" w:hAnsi="Times New Roman"/>
          <w:bCs/>
          <w:sz w:val="24"/>
          <w:szCs w:val="24"/>
          <w:lang w:val="en-GB"/>
        </w:rPr>
        <w:t>erent clomazone concentrations a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ffect its adsorption-desorption </w:t>
      </w:r>
      <w:r w:rsidR="00F8380D" w:rsidRPr="00250FF0">
        <w:rPr>
          <w:rFonts w:ascii="Times New Roman" w:hAnsi="Times New Roman"/>
          <w:bCs/>
          <w:sz w:val="24"/>
          <w:szCs w:val="24"/>
          <w:lang w:val="en-GB"/>
        </w:rPr>
        <w:t>behaviour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. </w:t>
      </w:r>
    </w:p>
    <w:p w14:paraId="7D571A82" w14:textId="77777777" w:rsidR="00501847" w:rsidRPr="00250FF0" w:rsidRDefault="00501847" w:rsidP="00C11D2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1A0E3C4" w14:textId="77777777" w:rsidR="00501847" w:rsidRPr="00250FF0" w:rsidRDefault="00501847" w:rsidP="00C11D2D">
      <w:pPr>
        <w:spacing w:after="0" w:line="360" w:lineRule="auto"/>
        <w:jc w:val="center"/>
        <w:rPr>
          <w:rFonts w:ascii="Times New Roman" w:hAnsi="Times New Roman"/>
          <w:sz w:val="24"/>
          <w:lang w:val="en-GB"/>
        </w:rPr>
      </w:pPr>
      <w:r w:rsidRPr="00250FF0">
        <w:rPr>
          <w:rFonts w:ascii="Times New Roman" w:hAnsi="Times New Roman"/>
          <w:sz w:val="24"/>
          <w:lang w:val="en-GB"/>
        </w:rPr>
        <w:t>EXPERIMENTAL</w:t>
      </w:r>
    </w:p>
    <w:p w14:paraId="644E9777" w14:textId="77777777" w:rsidR="009649D4" w:rsidRPr="00250FF0" w:rsidRDefault="009649D4" w:rsidP="00577422">
      <w:pPr>
        <w:spacing w:after="0" w:line="360" w:lineRule="auto"/>
        <w:jc w:val="both"/>
        <w:rPr>
          <w:rFonts w:ascii="Times New Roman" w:hAnsi="Times New Roman"/>
          <w:sz w:val="24"/>
          <w:lang w:val="en-GB"/>
        </w:rPr>
      </w:pPr>
    </w:p>
    <w:p w14:paraId="36159216" w14:textId="77777777" w:rsidR="009649D4" w:rsidRPr="00250FF0" w:rsidRDefault="009649D4" w:rsidP="004D59AD">
      <w:pPr>
        <w:spacing w:after="0" w:line="360" w:lineRule="auto"/>
        <w:jc w:val="both"/>
        <w:rPr>
          <w:rFonts w:ascii="Times New Roman" w:hAnsi="Times New Roman"/>
          <w:i/>
          <w:sz w:val="24"/>
          <w:lang w:val="en-GB"/>
        </w:rPr>
      </w:pPr>
      <w:r w:rsidRPr="00250FF0">
        <w:rPr>
          <w:rFonts w:ascii="Times New Roman" w:hAnsi="Times New Roman"/>
          <w:i/>
          <w:sz w:val="24"/>
          <w:lang w:val="en-GB"/>
        </w:rPr>
        <w:t>Reagents and materials</w:t>
      </w:r>
    </w:p>
    <w:p w14:paraId="7492385F" w14:textId="77777777" w:rsidR="009649D4" w:rsidRPr="00250FF0" w:rsidRDefault="009649D4" w:rsidP="004D59AD">
      <w:pPr>
        <w:spacing w:after="0" w:line="360" w:lineRule="auto"/>
        <w:jc w:val="both"/>
        <w:rPr>
          <w:rFonts w:ascii="Times New Roman" w:hAnsi="Times New Roman"/>
          <w:i/>
          <w:sz w:val="24"/>
          <w:lang w:val="en-GB"/>
        </w:rPr>
      </w:pPr>
    </w:p>
    <w:p w14:paraId="2889814F" w14:textId="15D4849D" w:rsidR="004D59AD" w:rsidRPr="00250FF0" w:rsidRDefault="004D59AD" w:rsidP="004D59A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50FF0">
        <w:rPr>
          <w:rFonts w:ascii="Times New Roman" w:hAnsi="Times New Roman"/>
          <w:sz w:val="24"/>
          <w:szCs w:val="24"/>
          <w:lang w:val="en-GB"/>
        </w:rPr>
        <w:t>Clomazone (99.5</w:t>
      </w:r>
      <w:r w:rsidR="00CE159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50FF0">
        <w:rPr>
          <w:rFonts w:ascii="Times New Roman" w:hAnsi="Times New Roman"/>
          <w:sz w:val="24"/>
          <w:szCs w:val="24"/>
          <w:lang w:val="en-GB"/>
        </w:rPr>
        <w:t>%</w:t>
      </w:r>
      <w:r w:rsidR="009A19D7" w:rsidRPr="00250FF0">
        <w:rPr>
          <w:rFonts w:ascii="Times New Roman" w:hAnsi="Times New Roman"/>
          <w:sz w:val="24"/>
          <w:szCs w:val="24"/>
          <w:lang w:val="en-GB"/>
        </w:rPr>
        <w:t xml:space="preserve"> purity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) was purchased from Dr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Ehrenstorfer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>, Germany. Its stock solution (1.5 g</w:t>
      </w:r>
      <w:r w:rsidR="007E743C" w:rsidRPr="00250FF0">
        <w:rPr>
          <w:rFonts w:ascii="Times New Roman" w:hAnsi="Times New Roman"/>
          <w:sz w:val="24"/>
          <w:szCs w:val="24"/>
          <w:lang w:val="en-GB"/>
        </w:rPr>
        <w:t xml:space="preserve"> dm</w:t>
      </w:r>
      <w:r w:rsidR="007E743C" w:rsidRPr="00250FF0">
        <w:rPr>
          <w:rFonts w:ascii="Times New Roman" w:hAnsi="Times New Roman"/>
          <w:sz w:val="24"/>
          <w:szCs w:val="24"/>
          <w:vertAlign w:val="superscript"/>
          <w:lang w:val="en-GB"/>
        </w:rPr>
        <w:t>-3</w:t>
      </w:r>
      <w:r w:rsidRPr="00250FF0">
        <w:rPr>
          <w:rFonts w:ascii="Times New Roman" w:hAnsi="Times New Roman"/>
          <w:sz w:val="24"/>
          <w:szCs w:val="24"/>
          <w:lang w:val="en-GB"/>
        </w:rPr>
        <w:t>) was prepared in acetonitrile (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>J. T. Baker, Holland</w:t>
      </w:r>
      <w:r w:rsidRPr="00250FF0">
        <w:rPr>
          <w:rFonts w:ascii="Times New Roman" w:hAnsi="Times New Roman"/>
          <w:sz w:val="24"/>
          <w:szCs w:val="24"/>
          <w:lang w:val="en-GB"/>
        </w:rPr>
        <w:t>) and kept at -18</w:t>
      </w:r>
      <w:r w:rsidR="007E743C"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CE159F">
        <w:rPr>
          <w:rFonts w:ascii="Times New Roman" w:hAnsi="Times New Roman"/>
          <w:sz w:val="24"/>
          <w:szCs w:val="24"/>
          <w:vertAlign w:val="superscript"/>
          <w:lang w:val="en-GB"/>
        </w:rPr>
        <w:t>o</w:t>
      </w:r>
      <w:r w:rsidR="00CE159F" w:rsidRPr="00250FF0">
        <w:rPr>
          <w:rFonts w:ascii="Times New Roman" w:hAnsi="Times New Roman"/>
          <w:sz w:val="24"/>
          <w:szCs w:val="24"/>
          <w:lang w:val="en-GB"/>
        </w:rPr>
        <w:t>C</w:t>
      </w:r>
      <w:r w:rsidRPr="00250FF0">
        <w:rPr>
          <w:rFonts w:ascii="Times New Roman" w:hAnsi="Times New Roman"/>
          <w:sz w:val="24"/>
          <w:szCs w:val="24"/>
          <w:lang w:val="en-GB"/>
        </w:rPr>
        <w:t>.</w:t>
      </w:r>
      <w:proofErr w:type="spellEnd"/>
    </w:p>
    <w:p w14:paraId="3E3283A6" w14:textId="77777777" w:rsidR="004D59AD" w:rsidRPr="00250FF0" w:rsidRDefault="004D59AD" w:rsidP="004D59A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250FF0">
        <w:rPr>
          <w:rFonts w:ascii="Times New Roman" w:hAnsi="Times New Roman"/>
          <w:bCs/>
          <w:sz w:val="24"/>
          <w:szCs w:val="24"/>
          <w:lang w:val="en-GB"/>
        </w:rPr>
        <w:t>Calcium chloride was purchased from Merck (Germany), while highly purified deionized water (</w:t>
      </w:r>
      <w:proofErr w:type="spellStart"/>
      <w:r w:rsidRPr="00250FF0">
        <w:rPr>
          <w:rFonts w:ascii="Times New Roman" w:hAnsi="Times New Roman"/>
          <w:bCs/>
          <w:sz w:val="24"/>
          <w:szCs w:val="24"/>
          <w:lang w:val="en-GB"/>
        </w:rPr>
        <w:t>Purelab</w:t>
      </w:r>
      <w:proofErr w:type="spellEnd"/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Option – R7, </w:t>
      </w:r>
      <w:proofErr w:type="spellStart"/>
      <w:r w:rsidRPr="00250FF0">
        <w:rPr>
          <w:rFonts w:ascii="Times New Roman" w:hAnsi="Times New Roman"/>
          <w:bCs/>
          <w:sz w:val="24"/>
          <w:szCs w:val="24"/>
          <w:lang w:val="en-GB"/>
        </w:rPr>
        <w:t>Elga</w:t>
      </w:r>
      <w:proofErr w:type="spellEnd"/>
      <w:r w:rsidRPr="00250FF0">
        <w:rPr>
          <w:rFonts w:ascii="Times New Roman" w:hAnsi="Times New Roman"/>
          <w:bCs/>
          <w:sz w:val="24"/>
          <w:szCs w:val="24"/>
          <w:lang w:val="en-GB"/>
        </w:rPr>
        <w:t>, UK) was used for preparation of 0.01 M CaCl</w:t>
      </w:r>
      <w:r w:rsidRPr="00250FF0">
        <w:rPr>
          <w:rFonts w:ascii="Times New Roman" w:hAnsi="Times New Roman"/>
          <w:bCs/>
          <w:sz w:val="24"/>
          <w:szCs w:val="24"/>
          <w:vertAlign w:val="subscript"/>
          <w:lang w:val="en-GB"/>
        </w:rPr>
        <w:t>2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solution.</w:t>
      </w:r>
    </w:p>
    <w:p w14:paraId="32F149E0" w14:textId="77777777" w:rsidR="004D59AD" w:rsidRPr="00250FF0" w:rsidRDefault="004D59AD" w:rsidP="004D59AD">
      <w:pPr>
        <w:spacing w:after="0" w:line="36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250FF0">
        <w:rPr>
          <w:rFonts w:ascii="Times New Roman" w:hAnsi="Times New Roman"/>
          <w:bCs/>
          <w:sz w:val="24"/>
          <w:szCs w:val="24"/>
          <w:lang w:val="en-GB"/>
        </w:rPr>
        <w:t>Working standard solutions of clomazone</w:t>
      </w:r>
      <w:r w:rsidR="00164B86" w:rsidRPr="00250FF0">
        <w:rPr>
          <w:rFonts w:ascii="Times New Roman" w:hAnsi="Times New Roman"/>
          <w:bCs/>
          <w:sz w:val="24"/>
          <w:szCs w:val="24"/>
          <w:lang w:val="en-GB"/>
        </w:rPr>
        <w:t>,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in concentration</w:t>
      </w:r>
      <w:r w:rsidR="00164B86" w:rsidRPr="00250FF0">
        <w:rPr>
          <w:rFonts w:ascii="Times New Roman" w:hAnsi="Times New Roman"/>
          <w:bCs/>
          <w:sz w:val="24"/>
          <w:szCs w:val="24"/>
          <w:lang w:val="en-GB"/>
        </w:rPr>
        <w:t>s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of </w:t>
      </w:r>
      <w:r w:rsidR="007E743C" w:rsidRPr="00250FF0">
        <w:rPr>
          <w:rFonts w:ascii="Times New Roman" w:hAnsi="Times New Roman"/>
          <w:bCs/>
          <w:sz w:val="24"/>
          <w:szCs w:val="24"/>
          <w:lang w:val="en-GB"/>
        </w:rPr>
        <w:t>0.5, 1.5, 3, 6, 9, 12 and 15 mg dm</w:t>
      </w:r>
      <w:r w:rsidR="007E743C" w:rsidRPr="00250FF0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-3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>, were prepared by diluting its stock solution with 0.01 M CaCl</w:t>
      </w:r>
      <w:r w:rsidRPr="00250FF0">
        <w:rPr>
          <w:rFonts w:ascii="Times New Roman" w:hAnsi="Times New Roman"/>
          <w:bCs/>
          <w:sz w:val="24"/>
          <w:szCs w:val="24"/>
          <w:vertAlign w:val="subscript"/>
          <w:lang w:val="en-GB"/>
        </w:rPr>
        <w:t>2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solution. </w:t>
      </w:r>
    </w:p>
    <w:p w14:paraId="6DABF6A8" w14:textId="77777777" w:rsidR="004D59AD" w:rsidRPr="00250FF0" w:rsidRDefault="00164B86" w:rsidP="00AE0A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50FF0">
        <w:rPr>
          <w:rFonts w:ascii="Times New Roman" w:hAnsi="Times New Roman"/>
          <w:bCs/>
          <w:sz w:val="24"/>
          <w:szCs w:val="24"/>
          <w:lang w:val="en-GB"/>
        </w:rPr>
        <w:t>Samples of t</w:t>
      </w:r>
      <w:r w:rsidR="004D59AD" w:rsidRPr="00250FF0">
        <w:rPr>
          <w:rFonts w:ascii="Times New Roman" w:hAnsi="Times New Roman"/>
          <w:bCs/>
          <w:sz w:val="24"/>
          <w:szCs w:val="24"/>
          <w:lang w:val="en-GB"/>
        </w:rPr>
        <w:t>wo agricultural soils, namely Regosol and Chernozem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>,</w:t>
      </w:r>
      <w:r w:rsidR="004D59AD" w:rsidRPr="00250FF0">
        <w:rPr>
          <w:rFonts w:ascii="Times New Roman" w:hAnsi="Times New Roman"/>
          <w:bCs/>
          <w:sz w:val="24"/>
          <w:szCs w:val="24"/>
          <w:lang w:val="en-GB"/>
        </w:rPr>
        <w:t xml:space="preserve"> were collected in October 2017 from the top 25 cm 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soil layer in </w:t>
      </w:r>
      <w:r w:rsidR="004D59AD" w:rsidRPr="00250FF0">
        <w:rPr>
          <w:rFonts w:ascii="Times New Roman" w:hAnsi="Times New Roman"/>
          <w:bCs/>
          <w:sz w:val="24"/>
          <w:szCs w:val="24"/>
          <w:lang w:val="en-GB"/>
        </w:rPr>
        <w:t xml:space="preserve">fields 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in which </w:t>
      </w:r>
      <w:r w:rsidR="004D59AD" w:rsidRPr="00250FF0">
        <w:rPr>
          <w:rFonts w:ascii="Times New Roman" w:hAnsi="Times New Roman"/>
          <w:bCs/>
          <w:sz w:val="24"/>
          <w:szCs w:val="24"/>
          <w:lang w:val="en-GB"/>
        </w:rPr>
        <w:t xml:space="preserve">soybean had been grown in the same year. Regosol was sampled in </w:t>
      </w:r>
      <w:proofErr w:type="spellStart"/>
      <w:r w:rsidR="004D59AD" w:rsidRPr="00250FF0">
        <w:rPr>
          <w:rFonts w:ascii="Times New Roman" w:hAnsi="Times New Roman"/>
          <w:bCs/>
          <w:sz w:val="24"/>
          <w:szCs w:val="24"/>
          <w:lang w:val="en-GB"/>
        </w:rPr>
        <w:t>Pirot</w:t>
      </w:r>
      <w:proofErr w:type="spellEnd"/>
      <w:r w:rsidR="004D59AD" w:rsidRPr="00250FF0">
        <w:rPr>
          <w:rFonts w:ascii="Times New Roman" w:hAnsi="Times New Roman"/>
          <w:bCs/>
          <w:sz w:val="24"/>
          <w:szCs w:val="24"/>
          <w:lang w:val="en-GB"/>
        </w:rPr>
        <w:t xml:space="preserve"> (south-east Serbia), and Chernozem in Novi </w:t>
      </w:r>
      <w:proofErr w:type="spellStart"/>
      <w:r w:rsidR="004D59AD" w:rsidRPr="00250FF0">
        <w:rPr>
          <w:rFonts w:ascii="Times New Roman" w:hAnsi="Times New Roman"/>
          <w:bCs/>
          <w:sz w:val="24"/>
          <w:szCs w:val="24"/>
          <w:lang w:val="en-GB"/>
        </w:rPr>
        <w:t>Banovci</w:t>
      </w:r>
      <w:proofErr w:type="spellEnd"/>
      <w:r w:rsidR="004D59AD" w:rsidRPr="00250FF0">
        <w:rPr>
          <w:rFonts w:ascii="Times New Roman" w:hAnsi="Times New Roman"/>
          <w:bCs/>
          <w:sz w:val="24"/>
          <w:szCs w:val="24"/>
          <w:lang w:val="en-GB"/>
        </w:rPr>
        <w:t xml:space="preserve"> (</w:t>
      </w:r>
      <w:proofErr w:type="spellStart"/>
      <w:r w:rsidR="004D59AD" w:rsidRPr="00250FF0">
        <w:rPr>
          <w:rFonts w:ascii="Times New Roman" w:hAnsi="Times New Roman"/>
          <w:bCs/>
          <w:sz w:val="24"/>
          <w:szCs w:val="24"/>
          <w:lang w:val="en-GB"/>
        </w:rPr>
        <w:t>Vojvodina</w:t>
      </w:r>
      <w:proofErr w:type="spellEnd"/>
      <w:r w:rsidR="004D59AD" w:rsidRPr="00250FF0">
        <w:rPr>
          <w:rFonts w:ascii="Times New Roman" w:hAnsi="Times New Roman"/>
          <w:bCs/>
          <w:sz w:val="24"/>
          <w:szCs w:val="24"/>
          <w:lang w:val="en-GB"/>
        </w:rPr>
        <w:t xml:space="preserve"> region, Serbia). Clomazone had not been applied to the fields for at least 3 years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previously</w:t>
      </w:r>
      <w:r w:rsidR="004D59AD" w:rsidRPr="00250FF0">
        <w:rPr>
          <w:rFonts w:ascii="Times New Roman" w:hAnsi="Times New Roman"/>
          <w:bCs/>
          <w:sz w:val="24"/>
          <w:szCs w:val="24"/>
          <w:lang w:val="en-GB"/>
        </w:rPr>
        <w:t xml:space="preserve">. Soil samples were air dried and ground to pass a 2-mm sieve. </w:t>
      </w:r>
      <w:r w:rsidR="004D59AD" w:rsidRPr="00250FF0">
        <w:rPr>
          <w:rFonts w:ascii="Times New Roman" w:hAnsi="Times New Roman"/>
          <w:sz w:val="24"/>
          <w:szCs w:val="24"/>
          <w:lang w:val="en-GB"/>
        </w:rPr>
        <w:t>Soil texture, OC and CaCO</w:t>
      </w:r>
      <w:r w:rsidR="004D59AD" w:rsidRPr="00250FF0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="004D59AD" w:rsidRPr="00250FF0">
        <w:rPr>
          <w:rFonts w:ascii="Times New Roman" w:hAnsi="Times New Roman"/>
          <w:sz w:val="24"/>
          <w:szCs w:val="24"/>
          <w:lang w:val="en-GB"/>
        </w:rPr>
        <w:t xml:space="preserve"> contents, as well as pH were determined </w:t>
      </w:r>
      <w:r w:rsidR="00244908" w:rsidRPr="00250FF0">
        <w:rPr>
          <w:rFonts w:ascii="Times New Roman" w:hAnsi="Times New Roman"/>
          <w:sz w:val="24"/>
          <w:szCs w:val="24"/>
          <w:lang w:val="en-GB"/>
        </w:rPr>
        <w:t>by</w:t>
      </w:r>
      <w:r w:rsidR="004D59AD" w:rsidRPr="00250FF0">
        <w:rPr>
          <w:rFonts w:ascii="Times New Roman" w:hAnsi="Times New Roman"/>
          <w:sz w:val="24"/>
          <w:szCs w:val="24"/>
          <w:lang w:val="en-GB"/>
        </w:rPr>
        <w:t xml:space="preserve"> standard methods</w:t>
      </w:r>
      <w:r w:rsidR="007F1425" w:rsidRPr="00250FF0">
        <w:rPr>
          <w:rFonts w:ascii="Times New Roman" w:hAnsi="Times New Roman"/>
          <w:sz w:val="24"/>
          <w:szCs w:val="24"/>
          <w:lang w:val="en-GB"/>
        </w:rPr>
        <w:t>.</w:t>
      </w:r>
      <w:r w:rsidR="007F1425" w:rsidRPr="00250FF0">
        <w:rPr>
          <w:rFonts w:ascii="Times New Roman" w:hAnsi="Times New Roman"/>
          <w:sz w:val="24"/>
          <w:szCs w:val="24"/>
          <w:vertAlign w:val="superscript"/>
          <w:lang w:val="en-GB"/>
        </w:rPr>
        <w:t>13</w:t>
      </w:r>
      <w:r w:rsidR="007F1425"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D3429" w:rsidRPr="00250FF0">
        <w:rPr>
          <w:rFonts w:ascii="Times New Roman" w:hAnsi="Times New Roman"/>
          <w:sz w:val="24"/>
          <w:szCs w:val="24"/>
          <w:lang w:val="en-GB"/>
        </w:rPr>
        <w:t xml:space="preserve">General soil properties are shown in Table </w:t>
      </w:r>
      <w:r w:rsidR="00F61EAC" w:rsidRPr="00250FF0">
        <w:rPr>
          <w:rFonts w:ascii="Times New Roman" w:hAnsi="Times New Roman"/>
          <w:sz w:val="24"/>
          <w:szCs w:val="24"/>
          <w:lang w:val="en-GB"/>
        </w:rPr>
        <w:t>I</w:t>
      </w:r>
      <w:r w:rsidR="001D3429" w:rsidRPr="00250FF0">
        <w:rPr>
          <w:rFonts w:ascii="Times New Roman" w:hAnsi="Times New Roman"/>
          <w:sz w:val="24"/>
          <w:szCs w:val="24"/>
          <w:lang w:val="en-GB"/>
        </w:rPr>
        <w:t>.</w:t>
      </w:r>
    </w:p>
    <w:p w14:paraId="79227487" w14:textId="54114699" w:rsidR="00566C83" w:rsidRPr="00250FF0" w:rsidRDefault="00566C83" w:rsidP="00566C8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250FF0">
        <w:rPr>
          <w:rFonts w:ascii="Times New Roman" w:hAnsi="Times New Roman"/>
          <w:sz w:val="24"/>
          <w:szCs w:val="24"/>
          <w:lang w:val="en-GB"/>
        </w:rPr>
        <w:t>Regosol is a sandy clay loam cont</w:t>
      </w:r>
      <w:r w:rsidR="0015793C" w:rsidRPr="00250FF0">
        <w:rPr>
          <w:rFonts w:ascii="Times New Roman" w:hAnsi="Times New Roman"/>
          <w:sz w:val="24"/>
          <w:szCs w:val="24"/>
          <w:lang w:val="en-GB"/>
        </w:rPr>
        <w:t>ai</w:t>
      </w:r>
      <w:r w:rsidRPr="00250FF0">
        <w:rPr>
          <w:rFonts w:ascii="Times New Roman" w:hAnsi="Times New Roman"/>
          <w:sz w:val="24"/>
          <w:szCs w:val="24"/>
          <w:lang w:val="en-GB"/>
        </w:rPr>
        <w:t>n</w:t>
      </w:r>
      <w:r w:rsidR="0015793C" w:rsidRPr="00250FF0">
        <w:rPr>
          <w:rFonts w:ascii="Times New Roman" w:hAnsi="Times New Roman"/>
          <w:sz w:val="24"/>
          <w:szCs w:val="24"/>
          <w:lang w:val="en-GB"/>
        </w:rPr>
        <w:t xml:space="preserve">ing </w:t>
      </w:r>
      <w:r w:rsidRPr="00250FF0">
        <w:rPr>
          <w:rFonts w:ascii="Times New Roman" w:hAnsi="Times New Roman"/>
          <w:sz w:val="24"/>
          <w:szCs w:val="24"/>
          <w:lang w:val="en-GB"/>
        </w:rPr>
        <w:t>18% coarse fragments, calcareous, moderately alkaline, with only 1.15</w:t>
      </w:r>
      <w:r w:rsidR="00CE159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% OC, clay 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>consist</w:t>
      </w:r>
      <w:r w:rsidR="0015793C" w:rsidRPr="00250FF0">
        <w:rPr>
          <w:rFonts w:ascii="Times New Roman" w:hAnsi="Times New Roman"/>
          <w:bCs/>
          <w:sz w:val="24"/>
          <w:szCs w:val="24"/>
          <w:lang w:val="en-GB"/>
        </w:rPr>
        <w:t xml:space="preserve">ing 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>primarily of kaolinite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. Chernozem is </w:t>
      </w:r>
      <w:r w:rsidR="0015793C" w:rsidRPr="00250FF0">
        <w:rPr>
          <w:rFonts w:ascii="Times New Roman" w:hAnsi="Times New Roman"/>
          <w:sz w:val="24"/>
          <w:szCs w:val="24"/>
          <w:lang w:val="en-GB"/>
        </w:rPr>
        <w:t xml:space="preserve">a </w:t>
      </w:r>
      <w:r w:rsidRPr="00250FF0">
        <w:rPr>
          <w:rFonts w:ascii="Times New Roman" w:hAnsi="Times New Roman"/>
          <w:sz w:val="24"/>
          <w:szCs w:val="24"/>
          <w:lang w:val="en-GB"/>
        </w:rPr>
        <w:t>clay loam, calcareous, slightly alkaline, with 1.93</w:t>
      </w:r>
      <w:r w:rsidR="00CE159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% OC, clay considered primarily of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illite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39DD55A8" w14:textId="77777777" w:rsidR="00566C83" w:rsidRPr="00250FF0" w:rsidRDefault="00566C83" w:rsidP="00AE0ABC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7B2BD62F" w14:textId="77777777" w:rsidR="00566C83" w:rsidRPr="00F8380D" w:rsidRDefault="00566C83" w:rsidP="00AE0ABC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5BC4C634" w14:textId="77777777" w:rsidR="00B2286D" w:rsidRPr="00F8380D" w:rsidRDefault="00B2286D" w:rsidP="00AE0ABC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26F49FEB" w14:textId="60F3BCCC" w:rsidR="002E1AE6" w:rsidRPr="00250FF0" w:rsidRDefault="002E1AE6" w:rsidP="00566C8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50FF0">
        <w:rPr>
          <w:rFonts w:ascii="Times New Roman" w:hAnsi="Times New Roman"/>
          <w:sz w:val="24"/>
          <w:szCs w:val="24"/>
          <w:lang w:val="en-GB"/>
        </w:rPr>
        <w:lastRenderedPageBreak/>
        <w:t>T</w:t>
      </w:r>
      <w:r w:rsidR="00E97F69" w:rsidRPr="00250FF0">
        <w:rPr>
          <w:rFonts w:ascii="Times New Roman" w:hAnsi="Times New Roman"/>
          <w:sz w:val="24"/>
          <w:szCs w:val="24"/>
          <w:lang w:val="en-GB"/>
        </w:rPr>
        <w:t>ABLE I</w:t>
      </w:r>
      <w:r w:rsidR="00B9084E" w:rsidRPr="00250FF0">
        <w:rPr>
          <w:rFonts w:ascii="Times New Roman" w:hAnsi="Times New Roman"/>
          <w:sz w:val="24"/>
          <w:szCs w:val="24"/>
          <w:lang w:val="en-GB"/>
        </w:rPr>
        <w:t>.</w:t>
      </w:r>
      <w:r w:rsidR="00E97F69"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General soil </w:t>
      </w:r>
      <w:r w:rsidR="008900F2">
        <w:rPr>
          <w:rFonts w:ascii="Times New Roman" w:hAnsi="Times New Roman"/>
          <w:sz w:val="24"/>
          <w:szCs w:val="24"/>
          <w:lang w:val="en-GB"/>
        </w:rPr>
        <w:t>composition and properties</w:t>
      </w:r>
    </w:p>
    <w:p w14:paraId="11A7CAD9" w14:textId="77777777" w:rsidR="00AE0ABC" w:rsidRPr="00250FF0" w:rsidRDefault="00AE0ABC" w:rsidP="00AE0ABC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TableGrid"/>
        <w:tblW w:w="680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1150"/>
        <w:gridCol w:w="736"/>
        <w:gridCol w:w="643"/>
        <w:gridCol w:w="689"/>
        <w:gridCol w:w="874"/>
        <w:gridCol w:w="736"/>
        <w:gridCol w:w="643"/>
      </w:tblGrid>
      <w:tr w:rsidR="00250FF0" w:rsidRPr="00250FF0" w14:paraId="3D930B7D" w14:textId="77777777" w:rsidTr="001D1D8F"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6D1D9D74" w14:textId="77777777" w:rsidR="004B6FA4" w:rsidRPr="00250FF0" w:rsidRDefault="004B6FA4" w:rsidP="00AE0AB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50FF0">
              <w:rPr>
                <w:rFonts w:ascii="Times New Roman" w:hAnsi="Times New Roman"/>
                <w:sz w:val="20"/>
                <w:szCs w:val="20"/>
                <w:lang w:val="en-GB"/>
              </w:rPr>
              <w:t>Soil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242E54F1" w14:textId="77777777" w:rsidR="004B6FA4" w:rsidRPr="00250FF0" w:rsidRDefault="004B6FA4" w:rsidP="00AE0AB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50FF0">
              <w:rPr>
                <w:rFonts w:ascii="Times New Roman" w:hAnsi="Times New Roman"/>
                <w:sz w:val="20"/>
                <w:szCs w:val="20"/>
                <w:lang w:val="en-GB"/>
              </w:rPr>
              <w:t>Coarse fragments, 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07D6750" w14:textId="77777777" w:rsidR="004B6FA4" w:rsidRPr="00250FF0" w:rsidRDefault="004B6FA4" w:rsidP="00AE0AB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50FF0">
              <w:rPr>
                <w:rFonts w:ascii="Times New Roman" w:hAnsi="Times New Roman"/>
                <w:sz w:val="20"/>
                <w:szCs w:val="20"/>
                <w:lang w:val="en-GB"/>
              </w:rPr>
              <w:t>Sand, %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5F11FAA" w14:textId="77777777" w:rsidR="004B6FA4" w:rsidRPr="00250FF0" w:rsidRDefault="004B6FA4" w:rsidP="00AE0AB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50FF0">
              <w:rPr>
                <w:rFonts w:ascii="Times New Roman" w:hAnsi="Times New Roman"/>
                <w:sz w:val="20"/>
                <w:szCs w:val="20"/>
                <w:lang w:val="en-GB"/>
              </w:rPr>
              <w:t>Silt, %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E5867B2" w14:textId="77777777" w:rsidR="004B6FA4" w:rsidRPr="00250FF0" w:rsidRDefault="004B6FA4" w:rsidP="00AE0AB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50FF0">
              <w:rPr>
                <w:rFonts w:ascii="Times New Roman" w:hAnsi="Times New Roman"/>
                <w:sz w:val="20"/>
                <w:szCs w:val="20"/>
                <w:lang w:val="en-GB"/>
              </w:rPr>
              <w:t>Clay, %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708ECE36" w14:textId="77777777" w:rsidR="004B6FA4" w:rsidRPr="00250FF0" w:rsidRDefault="004B6FA4" w:rsidP="00AE0AB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50FF0">
              <w:rPr>
                <w:rFonts w:ascii="Times New Roman" w:hAnsi="Times New Roman"/>
                <w:sz w:val="20"/>
                <w:szCs w:val="20"/>
                <w:lang w:val="en-GB"/>
              </w:rPr>
              <w:t>CaCO</w:t>
            </w:r>
            <w:r w:rsidRPr="00250FF0">
              <w:rPr>
                <w:rFonts w:ascii="Times New Roman" w:hAnsi="Times New Roman"/>
                <w:sz w:val="20"/>
                <w:szCs w:val="20"/>
                <w:vertAlign w:val="subscript"/>
                <w:lang w:val="en-GB"/>
              </w:rPr>
              <w:t>3</w:t>
            </w:r>
            <w:r w:rsidRPr="00250FF0">
              <w:rPr>
                <w:rFonts w:ascii="Times New Roman" w:hAnsi="Times New Roman"/>
                <w:sz w:val="20"/>
                <w:szCs w:val="20"/>
                <w:lang w:val="en-GB"/>
              </w:rPr>
              <w:t>, 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189D073" w14:textId="77777777" w:rsidR="004B6FA4" w:rsidRPr="00250FF0" w:rsidRDefault="004B6FA4" w:rsidP="00AE0AB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50FF0">
              <w:rPr>
                <w:rFonts w:ascii="Times New Roman" w:hAnsi="Times New Roman"/>
                <w:sz w:val="20"/>
                <w:szCs w:val="20"/>
                <w:lang w:val="en-GB"/>
              </w:rPr>
              <w:t>pH (H</w:t>
            </w:r>
            <w:r w:rsidRPr="00250FF0">
              <w:rPr>
                <w:rFonts w:ascii="Times New Roman" w:hAnsi="Times New Roman"/>
                <w:sz w:val="20"/>
                <w:szCs w:val="20"/>
                <w:vertAlign w:val="subscript"/>
                <w:lang w:val="en-GB"/>
              </w:rPr>
              <w:t>2</w:t>
            </w:r>
            <w:r w:rsidRPr="00250FF0">
              <w:rPr>
                <w:rFonts w:ascii="Times New Roman" w:hAnsi="Times New Roman"/>
                <w:sz w:val="20"/>
                <w:szCs w:val="20"/>
                <w:lang w:val="en-GB"/>
              </w:rPr>
              <w:t>O)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F0E95BC" w14:textId="77777777" w:rsidR="004B6FA4" w:rsidRPr="00250FF0" w:rsidRDefault="004B6FA4" w:rsidP="00AE0AB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50FF0">
              <w:rPr>
                <w:rFonts w:ascii="Times New Roman" w:hAnsi="Times New Roman"/>
                <w:sz w:val="20"/>
                <w:szCs w:val="20"/>
                <w:lang w:val="en-GB"/>
              </w:rPr>
              <w:t>OC, %</w:t>
            </w:r>
          </w:p>
        </w:tc>
      </w:tr>
      <w:tr w:rsidR="00250FF0" w:rsidRPr="00250FF0" w14:paraId="42247D57" w14:textId="77777777" w:rsidTr="00AE0ABC">
        <w:tc>
          <w:tcPr>
            <w:tcW w:w="1588" w:type="dxa"/>
            <w:tcBorders>
              <w:bottom w:val="nil"/>
            </w:tcBorders>
            <w:vAlign w:val="center"/>
          </w:tcPr>
          <w:p w14:paraId="4D2C8B1C" w14:textId="77777777" w:rsidR="004B6FA4" w:rsidRPr="00250FF0" w:rsidRDefault="004B6FA4" w:rsidP="00AE0ABC">
            <w:pPr>
              <w:spacing w:after="0" w:line="360" w:lineRule="auto"/>
              <w:rPr>
                <w:rFonts w:ascii="Times New Roman" w:hAnsi="Times New Roman"/>
                <w:lang w:val="en-GB"/>
              </w:rPr>
            </w:pPr>
            <w:r w:rsidRPr="00250FF0">
              <w:rPr>
                <w:rFonts w:ascii="Times New Roman" w:hAnsi="Times New Roman"/>
                <w:lang w:val="en-GB"/>
              </w:rPr>
              <w:t>R</w:t>
            </w:r>
            <w:r w:rsidR="008963A6" w:rsidRPr="00250FF0">
              <w:rPr>
                <w:rFonts w:ascii="Times New Roman" w:hAnsi="Times New Roman"/>
                <w:lang w:val="en-GB"/>
              </w:rPr>
              <w:t>egosol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14:paraId="40E17CB3" w14:textId="77777777" w:rsidR="004B6FA4" w:rsidRPr="00250FF0" w:rsidRDefault="004B6FA4" w:rsidP="00AE0ABC">
            <w:pPr>
              <w:spacing w:after="0"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250FF0">
              <w:rPr>
                <w:rFonts w:ascii="Times New Roman" w:hAnsi="Times New Roman"/>
                <w:lang w:val="en-GB"/>
              </w:rPr>
              <w:t>18.05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579BC77" w14:textId="77777777" w:rsidR="004B6FA4" w:rsidRPr="00250FF0" w:rsidRDefault="004B6FA4" w:rsidP="00AE0ABC">
            <w:pPr>
              <w:spacing w:after="0"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250FF0">
              <w:rPr>
                <w:rFonts w:ascii="Times New Roman" w:hAnsi="Times New Roman"/>
                <w:lang w:val="en-GB"/>
              </w:rPr>
              <w:t>53.2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14:paraId="4A3FE81D" w14:textId="77777777" w:rsidR="004B6FA4" w:rsidRPr="00250FF0" w:rsidRDefault="004B6FA4" w:rsidP="00AE0ABC">
            <w:pPr>
              <w:spacing w:after="0"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250FF0">
              <w:rPr>
                <w:rFonts w:ascii="Times New Roman" w:hAnsi="Times New Roman"/>
                <w:lang w:val="en-GB"/>
              </w:rPr>
              <w:t>23.4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14:paraId="10B873EF" w14:textId="77777777" w:rsidR="004B6FA4" w:rsidRPr="00250FF0" w:rsidRDefault="004B6FA4" w:rsidP="00AE0ABC">
            <w:pPr>
              <w:spacing w:after="0"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250FF0">
              <w:rPr>
                <w:rFonts w:ascii="Times New Roman" w:hAnsi="Times New Roman"/>
                <w:lang w:val="en-GB"/>
              </w:rPr>
              <w:t>23.4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14:paraId="0F4451AC" w14:textId="77777777" w:rsidR="004B6FA4" w:rsidRPr="00250FF0" w:rsidRDefault="004B6FA4" w:rsidP="00AE0ABC">
            <w:pPr>
              <w:spacing w:after="0"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250FF0">
              <w:rPr>
                <w:rFonts w:ascii="Times New Roman" w:hAnsi="Times New Roman"/>
                <w:lang w:val="en-GB"/>
              </w:rPr>
              <w:t>14.5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AFDEFA7" w14:textId="77777777" w:rsidR="004B6FA4" w:rsidRPr="00250FF0" w:rsidRDefault="004B6FA4" w:rsidP="00AE0ABC">
            <w:pPr>
              <w:spacing w:after="0"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250FF0">
              <w:rPr>
                <w:rFonts w:ascii="Times New Roman" w:hAnsi="Times New Roman"/>
                <w:lang w:val="en-GB"/>
              </w:rPr>
              <w:t>7.98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14:paraId="0ADFAE0A" w14:textId="77777777" w:rsidR="004B6FA4" w:rsidRPr="00250FF0" w:rsidRDefault="004B6FA4" w:rsidP="00AE0ABC">
            <w:pPr>
              <w:spacing w:after="0"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250FF0">
              <w:rPr>
                <w:rFonts w:ascii="Times New Roman" w:hAnsi="Times New Roman"/>
                <w:lang w:val="en-GB"/>
              </w:rPr>
              <w:t>1.15</w:t>
            </w:r>
          </w:p>
        </w:tc>
      </w:tr>
      <w:tr w:rsidR="002E00A8" w:rsidRPr="00250FF0" w14:paraId="16C14CE5" w14:textId="77777777" w:rsidTr="00AE0ABC">
        <w:tc>
          <w:tcPr>
            <w:tcW w:w="1588" w:type="dxa"/>
            <w:tcBorders>
              <w:top w:val="nil"/>
            </w:tcBorders>
            <w:vAlign w:val="center"/>
          </w:tcPr>
          <w:p w14:paraId="0CE945EE" w14:textId="77777777" w:rsidR="004B6FA4" w:rsidRPr="00250FF0" w:rsidRDefault="004B6FA4" w:rsidP="00AE0ABC">
            <w:pPr>
              <w:spacing w:after="0" w:line="360" w:lineRule="auto"/>
              <w:rPr>
                <w:rFonts w:ascii="Times New Roman" w:hAnsi="Times New Roman"/>
                <w:lang w:val="en-GB"/>
              </w:rPr>
            </w:pPr>
            <w:r w:rsidRPr="00250FF0">
              <w:rPr>
                <w:rFonts w:ascii="Times New Roman" w:hAnsi="Times New Roman"/>
                <w:lang w:val="en-GB"/>
              </w:rPr>
              <w:t>C</w:t>
            </w:r>
            <w:r w:rsidR="008963A6" w:rsidRPr="00250FF0">
              <w:rPr>
                <w:rFonts w:ascii="Times New Roman" w:hAnsi="Times New Roman"/>
                <w:lang w:val="en-GB"/>
              </w:rPr>
              <w:t>hernozem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14:paraId="6C2C6E56" w14:textId="77777777" w:rsidR="004B6FA4" w:rsidRPr="00250FF0" w:rsidRDefault="004B6FA4" w:rsidP="00AE0ABC">
            <w:pPr>
              <w:spacing w:after="0"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250FF0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7F91BFE4" w14:textId="77777777" w:rsidR="004B6FA4" w:rsidRPr="00250FF0" w:rsidRDefault="004B6FA4" w:rsidP="00AE0ABC">
            <w:pPr>
              <w:spacing w:after="0"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250FF0">
              <w:rPr>
                <w:rFonts w:ascii="Times New Roman" w:hAnsi="Times New Roman"/>
                <w:lang w:val="en-GB"/>
              </w:rPr>
              <w:t>35.4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14:paraId="157B8857" w14:textId="77777777" w:rsidR="004B6FA4" w:rsidRPr="00250FF0" w:rsidRDefault="008963A6" w:rsidP="00AE0ABC">
            <w:pPr>
              <w:spacing w:after="0"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250FF0">
              <w:rPr>
                <w:rFonts w:ascii="Times New Roman" w:hAnsi="Times New Roman"/>
                <w:lang w:val="en-GB"/>
              </w:rPr>
              <w:t>35.7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14:paraId="3F2A247B" w14:textId="77777777" w:rsidR="004B6FA4" w:rsidRPr="00250FF0" w:rsidRDefault="008963A6" w:rsidP="00AE0ABC">
            <w:pPr>
              <w:spacing w:after="0"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250FF0">
              <w:rPr>
                <w:rFonts w:ascii="Times New Roman" w:hAnsi="Times New Roman"/>
                <w:lang w:val="en-GB"/>
              </w:rPr>
              <w:t>28.9</w:t>
            </w:r>
          </w:p>
        </w:tc>
        <w:tc>
          <w:tcPr>
            <w:tcW w:w="1021" w:type="dxa"/>
            <w:tcBorders>
              <w:top w:val="nil"/>
            </w:tcBorders>
            <w:vAlign w:val="center"/>
          </w:tcPr>
          <w:p w14:paraId="4EC66956" w14:textId="77777777" w:rsidR="004B6FA4" w:rsidRPr="00250FF0" w:rsidRDefault="008963A6" w:rsidP="00AE0ABC">
            <w:pPr>
              <w:spacing w:after="0"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250FF0">
              <w:rPr>
                <w:rFonts w:ascii="Times New Roman" w:hAnsi="Times New Roman"/>
                <w:lang w:val="en-GB"/>
              </w:rPr>
              <w:t>2.5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CC3DC3D" w14:textId="77777777" w:rsidR="004B6FA4" w:rsidRPr="00250FF0" w:rsidRDefault="008963A6" w:rsidP="00AE0ABC">
            <w:pPr>
              <w:spacing w:after="0"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250FF0">
              <w:rPr>
                <w:rFonts w:ascii="Times New Roman" w:hAnsi="Times New Roman"/>
                <w:lang w:val="en-GB"/>
              </w:rPr>
              <w:t>7.77</w:t>
            </w:r>
          </w:p>
        </w:tc>
        <w:tc>
          <w:tcPr>
            <w:tcW w:w="737" w:type="dxa"/>
            <w:tcBorders>
              <w:top w:val="nil"/>
            </w:tcBorders>
            <w:vAlign w:val="center"/>
          </w:tcPr>
          <w:p w14:paraId="70E4DB63" w14:textId="77777777" w:rsidR="004B6FA4" w:rsidRPr="00250FF0" w:rsidRDefault="008963A6" w:rsidP="00AE0ABC">
            <w:pPr>
              <w:spacing w:after="0"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250FF0">
              <w:rPr>
                <w:rFonts w:ascii="Times New Roman" w:hAnsi="Times New Roman"/>
                <w:lang w:val="en-GB"/>
              </w:rPr>
              <w:t>1.93</w:t>
            </w:r>
          </w:p>
        </w:tc>
      </w:tr>
    </w:tbl>
    <w:p w14:paraId="10AF9E46" w14:textId="77777777" w:rsidR="001D3429" w:rsidRPr="00250FF0" w:rsidRDefault="001D3429" w:rsidP="004D59AD">
      <w:pPr>
        <w:spacing w:after="0" w:line="360" w:lineRule="auto"/>
        <w:ind w:firstLine="357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14:paraId="3C5795EF" w14:textId="77777777" w:rsidR="004D59AD" w:rsidRPr="00250FF0" w:rsidRDefault="0071327A" w:rsidP="004D59A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250FF0">
        <w:rPr>
          <w:rFonts w:ascii="Times New Roman" w:hAnsi="Times New Roman"/>
          <w:i/>
          <w:sz w:val="24"/>
          <w:szCs w:val="24"/>
          <w:lang w:val="en-GB"/>
        </w:rPr>
        <w:t>Ads</w:t>
      </w:r>
      <w:r w:rsidR="001C36ED" w:rsidRPr="00250FF0">
        <w:rPr>
          <w:rFonts w:ascii="Times New Roman" w:hAnsi="Times New Roman"/>
          <w:i/>
          <w:sz w:val="24"/>
          <w:szCs w:val="24"/>
          <w:lang w:val="en-GB"/>
        </w:rPr>
        <w:t>orption-</w:t>
      </w:r>
      <w:r w:rsidR="004D59AD" w:rsidRPr="00250FF0">
        <w:rPr>
          <w:rFonts w:ascii="Times New Roman" w:hAnsi="Times New Roman"/>
          <w:i/>
          <w:sz w:val="24"/>
          <w:szCs w:val="24"/>
          <w:lang w:val="en-GB"/>
        </w:rPr>
        <w:t xml:space="preserve">desorption studies </w:t>
      </w:r>
    </w:p>
    <w:p w14:paraId="071FB5A3" w14:textId="77777777" w:rsidR="004D59AD" w:rsidRPr="00250FF0" w:rsidRDefault="004D59AD" w:rsidP="004D59AD">
      <w:pPr>
        <w:spacing w:after="0" w:line="360" w:lineRule="auto"/>
        <w:ind w:firstLine="357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14:paraId="6687F073" w14:textId="17CE5E75" w:rsidR="004D59AD" w:rsidRPr="00250FF0" w:rsidRDefault="0071327A" w:rsidP="004D5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val="en-GB"/>
        </w:rPr>
      </w:pPr>
      <w:r w:rsidRPr="00250FF0">
        <w:rPr>
          <w:rFonts w:ascii="Times New Roman" w:eastAsia="TimesNewRomanPSMT" w:hAnsi="Times New Roman"/>
          <w:sz w:val="24"/>
          <w:szCs w:val="24"/>
          <w:lang w:val="en-GB"/>
        </w:rPr>
        <w:t>Ads</w:t>
      </w:r>
      <w:r w:rsidR="004D59AD" w:rsidRPr="00250FF0">
        <w:rPr>
          <w:rFonts w:ascii="Times New Roman" w:eastAsia="TimesNewRomanPSMT" w:hAnsi="Times New Roman"/>
          <w:sz w:val="24"/>
          <w:szCs w:val="24"/>
          <w:lang w:val="en-GB"/>
        </w:rPr>
        <w:t>orption and desorption isotherms of clomazone were obtained by the batch equilibration method</w:t>
      </w:r>
      <w:r w:rsidR="007F1425" w:rsidRPr="00250FF0">
        <w:rPr>
          <w:rFonts w:ascii="Times New Roman" w:eastAsia="TimesNewRomanPSMT" w:hAnsi="Times New Roman"/>
          <w:sz w:val="24"/>
          <w:szCs w:val="24"/>
          <w:lang w:val="en-GB"/>
        </w:rPr>
        <w:t>.</w:t>
      </w:r>
      <w:r w:rsidR="007F1425" w:rsidRPr="00250FF0">
        <w:rPr>
          <w:rFonts w:ascii="Times New Roman" w:eastAsia="TimesNewRomanPSMT" w:hAnsi="Times New Roman"/>
          <w:sz w:val="24"/>
          <w:szCs w:val="24"/>
          <w:vertAlign w:val="superscript"/>
          <w:lang w:val="en-GB"/>
        </w:rPr>
        <w:t>11</w:t>
      </w:r>
      <w:r w:rsidR="007F1425"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 </w:t>
      </w:r>
      <w:r w:rsidR="004D59AD" w:rsidRPr="00250FF0">
        <w:rPr>
          <w:rStyle w:val="longtext"/>
          <w:rFonts w:ascii="Times New Roman" w:hAnsi="Times New Roman"/>
          <w:sz w:val="24"/>
          <w:szCs w:val="24"/>
          <w:lang w:val="en-GB"/>
        </w:rPr>
        <w:t>Duplicate samples of 2</w:t>
      </w:r>
      <w:r w:rsidR="005B071C" w:rsidRPr="00250FF0">
        <w:rPr>
          <w:rStyle w:val="longtext"/>
          <w:rFonts w:ascii="Times New Roman" w:hAnsi="Times New Roman"/>
          <w:sz w:val="24"/>
          <w:szCs w:val="24"/>
          <w:lang w:val="en-GB"/>
        </w:rPr>
        <w:t xml:space="preserve"> </w:t>
      </w:r>
      <w:r w:rsidR="004D59AD" w:rsidRPr="00250FF0">
        <w:rPr>
          <w:rStyle w:val="longtext"/>
          <w:rFonts w:ascii="Times New Roman" w:hAnsi="Times New Roman"/>
          <w:sz w:val="24"/>
          <w:szCs w:val="24"/>
          <w:lang w:val="en-GB"/>
        </w:rPr>
        <w:t xml:space="preserve">g of </w:t>
      </w:r>
      <w:r w:rsidR="00B2286D" w:rsidRPr="00250FF0">
        <w:rPr>
          <w:rStyle w:val="longtext"/>
          <w:rFonts w:ascii="Times New Roman" w:hAnsi="Times New Roman"/>
          <w:sz w:val="24"/>
          <w:szCs w:val="24"/>
          <w:lang w:val="en-GB"/>
        </w:rPr>
        <w:t xml:space="preserve">each </w:t>
      </w:r>
      <w:r w:rsidR="004D59AD"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soil and 10 </w:t>
      </w:r>
      <w:r w:rsidR="005B071C" w:rsidRPr="00250FF0">
        <w:rPr>
          <w:rFonts w:ascii="Times New Roman" w:eastAsia="TimesNewRomanPSMT" w:hAnsi="Times New Roman"/>
          <w:sz w:val="24"/>
          <w:szCs w:val="24"/>
          <w:lang w:val="en-GB"/>
        </w:rPr>
        <w:t>cm</w:t>
      </w:r>
      <w:r w:rsidR="005B071C" w:rsidRPr="00250FF0">
        <w:rPr>
          <w:rFonts w:ascii="Times New Roman" w:eastAsia="TimesNewRomanPSMT" w:hAnsi="Times New Roman"/>
          <w:sz w:val="24"/>
          <w:szCs w:val="24"/>
          <w:vertAlign w:val="superscript"/>
          <w:lang w:val="en-GB"/>
        </w:rPr>
        <w:t>3</w:t>
      </w:r>
      <w:r w:rsidR="004D59AD"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 of 0.01 M</w:t>
      </w:r>
      <w:r w:rsidR="005B071C"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 </w:t>
      </w:r>
      <w:r w:rsidR="004D59AD" w:rsidRPr="00250FF0">
        <w:rPr>
          <w:rFonts w:ascii="Times New Roman" w:eastAsia="TimesNewRomanPSMT" w:hAnsi="Times New Roman"/>
          <w:sz w:val="24"/>
          <w:szCs w:val="24"/>
          <w:lang w:val="en-GB"/>
        </w:rPr>
        <w:t>CaCl</w:t>
      </w:r>
      <w:r w:rsidR="004D59AD" w:rsidRPr="00250FF0">
        <w:rPr>
          <w:rFonts w:ascii="Times New Roman" w:eastAsia="TimesNewRomanPSMT" w:hAnsi="Times New Roman"/>
          <w:sz w:val="24"/>
          <w:szCs w:val="24"/>
          <w:vertAlign w:val="subscript"/>
          <w:lang w:val="en-GB"/>
        </w:rPr>
        <w:t>2</w:t>
      </w:r>
      <w:r w:rsidR="004D59AD"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 </w:t>
      </w:r>
      <w:r w:rsidR="00B2286D" w:rsidRPr="00250FF0">
        <w:rPr>
          <w:rFonts w:ascii="Times New Roman" w:eastAsia="TimesNewRomanPSMT" w:hAnsi="Times New Roman"/>
          <w:sz w:val="24"/>
          <w:szCs w:val="24"/>
          <w:lang w:val="en-GB"/>
        </w:rPr>
        <w:t>solution</w:t>
      </w:r>
      <w:r w:rsidR="004D59AD"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 with initial clomazone concentration</w:t>
      </w:r>
      <w:r w:rsidR="00B2286D" w:rsidRPr="00250FF0">
        <w:rPr>
          <w:rFonts w:ascii="Times New Roman" w:eastAsia="TimesNewRomanPSMT" w:hAnsi="Times New Roman"/>
          <w:sz w:val="24"/>
          <w:szCs w:val="24"/>
          <w:lang w:val="en-GB"/>
        </w:rPr>
        <w:t>s</w:t>
      </w:r>
      <w:r w:rsidR="004D59AD"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 ranging from 0.5 to 15 mg</w:t>
      </w:r>
      <w:r w:rsidR="005B071C"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 dm</w:t>
      </w:r>
      <w:r w:rsidR="005B071C" w:rsidRPr="00250FF0">
        <w:rPr>
          <w:rFonts w:ascii="Times New Roman" w:eastAsia="TimesNewRomanPSMT" w:hAnsi="Times New Roman"/>
          <w:sz w:val="24"/>
          <w:szCs w:val="24"/>
          <w:vertAlign w:val="superscript"/>
          <w:lang w:val="en-GB"/>
        </w:rPr>
        <w:t>-3</w:t>
      </w:r>
      <w:r w:rsidR="005B071C"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 </w:t>
      </w:r>
      <w:r w:rsidR="004D59AD"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were mixed in 50 </w:t>
      </w:r>
      <w:r w:rsidR="005B071C" w:rsidRPr="00250FF0">
        <w:rPr>
          <w:rFonts w:ascii="Times New Roman" w:eastAsia="TimesNewRomanPSMT" w:hAnsi="Times New Roman"/>
          <w:sz w:val="24"/>
          <w:szCs w:val="24"/>
          <w:lang w:val="en-GB"/>
        </w:rPr>
        <w:t>cm</w:t>
      </w:r>
      <w:r w:rsidR="005B071C" w:rsidRPr="00250FF0">
        <w:rPr>
          <w:rFonts w:ascii="Times New Roman" w:eastAsia="TimesNewRomanPSMT" w:hAnsi="Times New Roman"/>
          <w:sz w:val="24"/>
          <w:szCs w:val="24"/>
          <w:vertAlign w:val="superscript"/>
          <w:lang w:val="en-GB"/>
        </w:rPr>
        <w:t>3</w:t>
      </w:r>
      <w:r w:rsidR="004D59AD"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 polypropylene centrifuge tubes. The tubes were shaken at 20 ± 1 </w:t>
      </w:r>
      <w:proofErr w:type="spellStart"/>
      <w:r w:rsidR="00804C24">
        <w:rPr>
          <w:rFonts w:ascii="Times New Roman" w:hAnsi="Times New Roman"/>
          <w:sz w:val="24"/>
          <w:szCs w:val="24"/>
          <w:vertAlign w:val="superscript"/>
          <w:lang w:val="en-GB"/>
        </w:rPr>
        <w:t>o</w:t>
      </w:r>
      <w:r w:rsidR="00804C24" w:rsidRPr="00250FF0">
        <w:rPr>
          <w:rFonts w:ascii="Times New Roman" w:hAnsi="Times New Roman"/>
          <w:sz w:val="24"/>
          <w:szCs w:val="24"/>
          <w:lang w:val="en-GB"/>
        </w:rPr>
        <w:t>C</w:t>
      </w:r>
      <w:proofErr w:type="spellEnd"/>
      <w:r w:rsidR="004D59AD"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 on a rotary shaker for 24</w:t>
      </w:r>
      <w:r w:rsidR="005B071C"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 </w:t>
      </w:r>
      <w:r w:rsidR="004D59AD" w:rsidRPr="00250FF0">
        <w:rPr>
          <w:rFonts w:ascii="Times New Roman" w:eastAsia="TimesNewRomanPSMT" w:hAnsi="Times New Roman"/>
          <w:sz w:val="24"/>
          <w:szCs w:val="24"/>
          <w:lang w:val="en-GB"/>
        </w:rPr>
        <w:t>h, and then centrifuged at 3000 rpm for 5 min. A previous kinetics study</w:t>
      </w:r>
      <w:r w:rsidR="00B2286D"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 had </w:t>
      </w:r>
      <w:r w:rsidR="004D59AD"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indicated that 24 h was adequate to attain the equilibrium redistribution of clomazone in the soil/water system. The supernatants were filtered through 0.22 </w:t>
      </w:r>
      <w:r w:rsidR="004D59AD" w:rsidRPr="00250FF0">
        <w:rPr>
          <w:rFonts w:ascii="Times New Roman" w:eastAsia="TimesNewRomanPSMT" w:hAnsi="Times New Roman"/>
          <w:sz w:val="24"/>
          <w:szCs w:val="24"/>
          <w:lang w:val="en-GB"/>
        </w:rPr>
        <w:sym w:font="Symbol" w:char="F06D"/>
      </w:r>
      <w:r w:rsidR="004D59AD"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m membranes </w:t>
      </w:r>
      <w:r w:rsidR="00113AAB">
        <w:rPr>
          <w:rFonts w:ascii="Times New Roman" w:eastAsia="TimesNewRomanPSMT" w:hAnsi="Times New Roman"/>
          <w:sz w:val="24"/>
          <w:szCs w:val="24"/>
          <w:lang w:val="en-GB"/>
        </w:rPr>
        <w:t>b</w:t>
      </w:r>
      <w:r w:rsidR="009711FD">
        <w:rPr>
          <w:rFonts w:ascii="Times New Roman" w:eastAsia="TimesNewRomanPSMT" w:hAnsi="Times New Roman"/>
          <w:sz w:val="24"/>
          <w:szCs w:val="24"/>
          <w:lang w:val="en-GB"/>
        </w:rPr>
        <w:t>efore</w:t>
      </w:r>
      <w:r w:rsidR="004D59AD"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 further analysis. The amounts of clomazone </w:t>
      </w:r>
      <w:r w:rsidR="000F1679" w:rsidRPr="00250FF0">
        <w:rPr>
          <w:rFonts w:ascii="Times New Roman" w:eastAsia="TimesNewRomanPSMT" w:hAnsi="Times New Roman"/>
          <w:sz w:val="24"/>
          <w:szCs w:val="24"/>
          <w:lang w:val="en-GB"/>
        </w:rPr>
        <w:t>ad</w:t>
      </w:r>
      <w:r w:rsidR="004D59AD" w:rsidRPr="00250FF0">
        <w:rPr>
          <w:rFonts w:ascii="Times New Roman" w:eastAsia="TimesNewRomanPSMT" w:hAnsi="Times New Roman"/>
          <w:sz w:val="24"/>
          <w:szCs w:val="24"/>
          <w:lang w:val="en-GB"/>
        </w:rPr>
        <w:t>sorbed by the soils were calculated from the differen</w:t>
      </w:r>
      <w:r w:rsidR="00CB5AC1" w:rsidRPr="00250FF0">
        <w:rPr>
          <w:rFonts w:ascii="Times New Roman" w:eastAsia="TimesNewRomanPSMT" w:hAnsi="Times New Roman"/>
          <w:sz w:val="24"/>
          <w:szCs w:val="24"/>
          <w:lang w:val="en-GB"/>
        </w:rPr>
        <w:t>ce between the initials and supernatant</w:t>
      </w:r>
      <w:r w:rsidR="004D59AD"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 concentration</w:t>
      </w:r>
      <w:r w:rsidR="00CB5AC1" w:rsidRPr="00250FF0">
        <w:rPr>
          <w:rFonts w:ascii="Times New Roman" w:eastAsia="TimesNewRomanPSMT" w:hAnsi="Times New Roman"/>
          <w:sz w:val="24"/>
          <w:szCs w:val="24"/>
          <w:lang w:val="en-GB"/>
        </w:rPr>
        <w:t>s</w:t>
      </w:r>
      <w:r w:rsidR="004D59AD"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 in each sample.</w:t>
      </w:r>
    </w:p>
    <w:p w14:paraId="08205B80" w14:textId="77777777" w:rsidR="004D59AD" w:rsidRPr="00250FF0" w:rsidRDefault="002276D9" w:rsidP="001D2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val="en-GB"/>
        </w:rPr>
      </w:pPr>
      <w:r w:rsidRPr="00250FF0">
        <w:rPr>
          <w:rFonts w:ascii="Times New Roman" w:eastAsia="TimesNewRomanPSMT" w:hAnsi="Times New Roman"/>
          <w:sz w:val="24"/>
          <w:szCs w:val="24"/>
          <w:lang w:val="en-GB"/>
        </w:rPr>
        <w:t>C</w:t>
      </w:r>
      <w:r w:rsidR="004D59AD" w:rsidRPr="00250FF0">
        <w:rPr>
          <w:rFonts w:ascii="Times New Roman" w:eastAsia="TimesNewRomanPSMT" w:hAnsi="Times New Roman"/>
          <w:sz w:val="24"/>
          <w:szCs w:val="24"/>
          <w:lang w:val="en-GB"/>
        </w:rPr>
        <w:t>lomazone desorption studies were carried out for its initial concentrations of 1.5, 6 and 15 mg</w:t>
      </w:r>
      <w:r w:rsidR="00684334"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 dm</w:t>
      </w:r>
      <w:r w:rsidR="00684334" w:rsidRPr="00250FF0">
        <w:rPr>
          <w:rFonts w:ascii="Times New Roman" w:eastAsia="TimesNewRomanPSMT" w:hAnsi="Times New Roman"/>
          <w:sz w:val="24"/>
          <w:szCs w:val="24"/>
          <w:vertAlign w:val="superscript"/>
          <w:lang w:val="en-GB"/>
        </w:rPr>
        <w:t>-3</w:t>
      </w:r>
      <w:r w:rsidR="004D59AD"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, immediately after the </w:t>
      </w:r>
      <w:r w:rsidR="00D9715B">
        <w:rPr>
          <w:rFonts w:ascii="Times New Roman" w:eastAsia="TimesNewRomanPSMT" w:hAnsi="Times New Roman"/>
          <w:sz w:val="24"/>
          <w:szCs w:val="24"/>
          <w:lang w:val="en-GB"/>
        </w:rPr>
        <w:t>ad</w:t>
      </w:r>
      <w:r w:rsidR="004D59AD"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sorption process </w:t>
      </w:r>
      <w:r w:rsidRPr="00250FF0">
        <w:rPr>
          <w:rFonts w:ascii="Times New Roman" w:eastAsia="TimesNewRomanPSMT" w:hAnsi="Times New Roman"/>
          <w:sz w:val="24"/>
          <w:szCs w:val="24"/>
          <w:lang w:val="en-GB"/>
        </w:rPr>
        <w:t>has</w:t>
      </w:r>
      <w:r w:rsidR="004D59AD"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 completed, by replacing 5 </w:t>
      </w:r>
      <w:r w:rsidR="001D26D6" w:rsidRPr="00250FF0">
        <w:rPr>
          <w:rFonts w:ascii="Times New Roman" w:eastAsia="TimesNewRomanPSMT" w:hAnsi="Times New Roman"/>
          <w:sz w:val="24"/>
          <w:szCs w:val="24"/>
          <w:lang w:val="en-GB"/>
        </w:rPr>
        <w:t>cm</w:t>
      </w:r>
      <w:r w:rsidR="001D26D6" w:rsidRPr="00250FF0">
        <w:rPr>
          <w:rFonts w:ascii="Times New Roman" w:eastAsia="TimesNewRomanPSMT" w:hAnsi="Times New Roman"/>
          <w:sz w:val="24"/>
          <w:szCs w:val="24"/>
          <w:vertAlign w:val="superscript"/>
          <w:lang w:val="en-GB"/>
        </w:rPr>
        <w:t>3</w:t>
      </w:r>
      <w:r w:rsidR="004D59AD"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 of the obtained supernatants with 5 </w:t>
      </w:r>
      <w:r w:rsidR="001D26D6" w:rsidRPr="00250FF0">
        <w:rPr>
          <w:rFonts w:ascii="Times New Roman" w:eastAsia="TimesNewRomanPSMT" w:hAnsi="Times New Roman"/>
          <w:sz w:val="24"/>
          <w:szCs w:val="24"/>
          <w:lang w:val="en-GB"/>
        </w:rPr>
        <w:t>cm</w:t>
      </w:r>
      <w:r w:rsidR="001D26D6" w:rsidRPr="00250FF0">
        <w:rPr>
          <w:rFonts w:ascii="Times New Roman" w:eastAsia="TimesNewRomanPSMT" w:hAnsi="Times New Roman"/>
          <w:sz w:val="24"/>
          <w:szCs w:val="24"/>
          <w:vertAlign w:val="superscript"/>
          <w:lang w:val="en-GB"/>
        </w:rPr>
        <w:t>3</w:t>
      </w:r>
      <w:r w:rsidR="004D59AD"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 of clomazone-free 0.01 M</w:t>
      </w:r>
      <w:r w:rsidR="001D26D6"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 </w:t>
      </w:r>
      <w:r w:rsidR="004D59AD" w:rsidRPr="00250FF0">
        <w:rPr>
          <w:rFonts w:ascii="Times New Roman" w:eastAsia="TimesNewRomanPSMT" w:hAnsi="Times New Roman"/>
          <w:sz w:val="24"/>
          <w:szCs w:val="24"/>
          <w:lang w:val="en-GB"/>
        </w:rPr>
        <w:t>CaCl</w:t>
      </w:r>
      <w:r w:rsidR="004D59AD" w:rsidRPr="00250FF0">
        <w:rPr>
          <w:rFonts w:ascii="Times New Roman" w:eastAsia="TimesNewRomanPSMT" w:hAnsi="Times New Roman"/>
          <w:sz w:val="24"/>
          <w:szCs w:val="24"/>
          <w:vertAlign w:val="subscript"/>
          <w:lang w:val="en-GB"/>
        </w:rPr>
        <w:t>2</w:t>
      </w:r>
      <w:r w:rsidR="001D26D6"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 solution. The tubes were </w:t>
      </w:r>
      <w:r w:rsidR="004D59AD" w:rsidRPr="00250FF0">
        <w:rPr>
          <w:rFonts w:ascii="Times New Roman" w:eastAsia="TimesNewRomanPSMT" w:hAnsi="Times New Roman"/>
          <w:sz w:val="24"/>
          <w:szCs w:val="24"/>
          <w:lang w:val="en-GB"/>
        </w:rPr>
        <w:t>again equilibrated for 24</w:t>
      </w:r>
      <w:r w:rsidR="001D26D6"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 </w:t>
      </w:r>
      <w:r w:rsidR="004D59AD"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h on </w:t>
      </w:r>
      <w:r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the </w:t>
      </w:r>
      <w:r w:rsidR="004D59AD"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rotary shaker, </w:t>
      </w:r>
      <w:r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which was </w:t>
      </w:r>
      <w:r w:rsidR="004D59AD" w:rsidRPr="00250FF0">
        <w:rPr>
          <w:rFonts w:ascii="Times New Roman" w:eastAsia="TimesNewRomanPSMT" w:hAnsi="Times New Roman"/>
          <w:sz w:val="24"/>
          <w:szCs w:val="24"/>
          <w:lang w:val="en-GB"/>
        </w:rPr>
        <w:t>followed by centri</w:t>
      </w:r>
      <w:r w:rsidR="001D26D6"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fugation at 3000 rpm for 5 min, </w:t>
      </w:r>
      <w:r w:rsidR="004D59AD"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filtration of the obtained supernatants and chromatographic </w:t>
      </w:r>
      <w:r w:rsidR="000F1679" w:rsidRPr="00250FF0">
        <w:rPr>
          <w:rFonts w:ascii="Times New Roman" w:eastAsia="TimesNewRomanPSMT" w:hAnsi="Times New Roman"/>
          <w:sz w:val="24"/>
          <w:szCs w:val="24"/>
          <w:lang w:val="en-GB"/>
        </w:rPr>
        <w:t>analyses</w:t>
      </w:r>
      <w:r w:rsidR="004D59AD"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. For all concentrations, three successive desorption steps were examined.  </w:t>
      </w:r>
    </w:p>
    <w:p w14:paraId="5C62EA4E" w14:textId="77777777" w:rsidR="004D59AD" w:rsidRPr="00250FF0" w:rsidRDefault="004D59AD" w:rsidP="004544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50FF0">
        <w:rPr>
          <w:rFonts w:ascii="Times New Roman" w:hAnsi="Times New Roman"/>
          <w:sz w:val="24"/>
          <w:szCs w:val="24"/>
          <w:lang w:val="en-GB"/>
        </w:rPr>
        <w:t>All sorption and desorption measurements were carried out in three replicates.</w:t>
      </w:r>
    </w:p>
    <w:p w14:paraId="59C3A400" w14:textId="77777777" w:rsidR="004D59AD" w:rsidRPr="00250FF0" w:rsidRDefault="004D59AD" w:rsidP="004D5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417782E5" w14:textId="77777777" w:rsidR="004D59AD" w:rsidRPr="00250FF0" w:rsidRDefault="004D59AD" w:rsidP="004D5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250FF0">
        <w:rPr>
          <w:rFonts w:ascii="Times New Roman" w:eastAsia="TimesNewRomanPSMT" w:hAnsi="Times New Roman"/>
          <w:i/>
          <w:sz w:val="24"/>
          <w:szCs w:val="24"/>
          <w:lang w:val="en-GB"/>
        </w:rPr>
        <w:t>Chromatographic analysis</w:t>
      </w:r>
    </w:p>
    <w:p w14:paraId="20E55E70" w14:textId="77777777" w:rsidR="004D59AD" w:rsidRPr="00250FF0" w:rsidRDefault="004D59AD" w:rsidP="004D5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A64C0F6" w14:textId="03DECC1F" w:rsidR="004D59AD" w:rsidRPr="00250FF0" w:rsidRDefault="004D59AD" w:rsidP="004D5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val="en-GB"/>
        </w:rPr>
      </w:pPr>
      <w:r w:rsidRPr="00250FF0">
        <w:rPr>
          <w:rFonts w:ascii="Times New Roman" w:eastAsia="TimesNewRomanPSMT" w:hAnsi="Times New Roman"/>
          <w:sz w:val="24"/>
          <w:szCs w:val="24"/>
          <w:lang w:val="en-GB"/>
        </w:rPr>
        <w:t>Clomazone concentration</w:t>
      </w:r>
      <w:r w:rsidR="001B0D74" w:rsidRPr="00250FF0">
        <w:rPr>
          <w:rFonts w:ascii="Times New Roman" w:eastAsia="TimesNewRomanPSMT" w:hAnsi="Times New Roman"/>
          <w:sz w:val="24"/>
          <w:szCs w:val="24"/>
          <w:lang w:val="en-GB"/>
        </w:rPr>
        <w:t>s</w:t>
      </w:r>
      <w:r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 in the obtained </w:t>
      </w:r>
      <w:r w:rsidR="0071327A" w:rsidRPr="00250FF0">
        <w:rPr>
          <w:rFonts w:ascii="Times New Roman" w:eastAsia="TimesNewRomanPSMT" w:hAnsi="Times New Roman"/>
          <w:sz w:val="24"/>
          <w:szCs w:val="24"/>
          <w:lang w:val="en-GB"/>
        </w:rPr>
        <w:t>ad</w:t>
      </w:r>
      <w:r w:rsidRPr="00250FF0">
        <w:rPr>
          <w:rFonts w:ascii="Times New Roman" w:eastAsia="TimesNewRomanPSMT" w:hAnsi="Times New Roman"/>
          <w:sz w:val="24"/>
          <w:szCs w:val="24"/>
          <w:lang w:val="en-GB"/>
        </w:rPr>
        <w:t>sorption</w:t>
      </w:r>
      <w:r w:rsidR="00F46C56" w:rsidRPr="00250FF0">
        <w:rPr>
          <w:rFonts w:ascii="Times New Roman" w:eastAsia="TimesNewRomanPSMT" w:hAnsi="Times New Roman"/>
          <w:sz w:val="24"/>
          <w:szCs w:val="24"/>
          <w:lang w:val="en-GB"/>
        </w:rPr>
        <w:t>-</w:t>
      </w:r>
      <w:r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desorption supernatants were determined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by </w:t>
      </w:r>
      <w:r w:rsidR="001B0D74" w:rsidRPr="00250FF0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Shimadzu Prominence high performance liquid chromatography (HPLC) system, equipped with </w:t>
      </w:r>
      <w:r w:rsidR="001B0D74" w:rsidRPr="00250FF0">
        <w:rPr>
          <w:rFonts w:ascii="Times New Roman" w:hAnsi="Times New Roman"/>
          <w:sz w:val="24"/>
          <w:szCs w:val="24"/>
          <w:lang w:val="en-GB"/>
        </w:rPr>
        <w:t xml:space="preserve">a </w:t>
      </w:r>
      <w:r w:rsidRPr="00250FF0">
        <w:rPr>
          <w:rFonts w:ascii="Times New Roman" w:hAnsi="Times New Roman"/>
          <w:sz w:val="24"/>
          <w:szCs w:val="24"/>
          <w:lang w:val="en-GB"/>
        </w:rPr>
        <w:t>pump model LC-20AD and diode array detector (DAD) model SPD-M20A. The following conditions were used: Eclipse XDB-C18 column (4.6 x 150 mm, 3.5</w:t>
      </w:r>
      <w:r w:rsidR="005A48FF"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50FF0">
        <w:rPr>
          <w:rFonts w:ascii="Times New Roman" w:hAnsi="Times New Roman"/>
          <w:sz w:val="24"/>
          <w:szCs w:val="24"/>
          <w:lang w:val="en-GB"/>
        </w:rPr>
        <w:sym w:font="Symbol" w:char="F06D"/>
      </w:r>
      <w:r w:rsidRPr="00250FF0">
        <w:rPr>
          <w:rFonts w:ascii="Times New Roman" w:hAnsi="Times New Roman"/>
          <w:sz w:val="24"/>
          <w:szCs w:val="24"/>
          <w:lang w:val="en-GB"/>
        </w:rPr>
        <w:t>m), using acetonitrile and water (70:30, v</w:t>
      </w:r>
      <w:r w:rsidR="005A48FF"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50FF0">
        <w:rPr>
          <w:rFonts w:ascii="Times New Roman" w:hAnsi="Times New Roman"/>
          <w:sz w:val="24"/>
          <w:szCs w:val="24"/>
          <w:lang w:val="en-GB"/>
        </w:rPr>
        <w:t>v</w:t>
      </w:r>
      <w:r w:rsidR="005A48FF" w:rsidRPr="00250FF0">
        <w:rPr>
          <w:rFonts w:ascii="Times New Roman" w:hAnsi="Times New Roman"/>
          <w:sz w:val="24"/>
          <w:szCs w:val="24"/>
          <w:vertAlign w:val="superscript"/>
          <w:lang w:val="en-GB"/>
        </w:rPr>
        <w:t>-1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) as </w:t>
      </w:r>
      <w:r w:rsidR="001B0D74" w:rsidRPr="00250FF0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mobile phase at </w:t>
      </w:r>
      <w:r w:rsidR="001B0D74" w:rsidRPr="00250FF0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flow rate of 1.0 </w:t>
      </w:r>
      <w:r w:rsidR="002203D7" w:rsidRPr="00250FF0">
        <w:rPr>
          <w:rFonts w:ascii="Times New Roman" w:eastAsia="TimesNewRomanPSMT" w:hAnsi="Times New Roman"/>
          <w:sz w:val="24"/>
          <w:szCs w:val="24"/>
          <w:lang w:val="en-GB"/>
        </w:rPr>
        <w:t>cm</w:t>
      </w:r>
      <w:r w:rsidR="002203D7" w:rsidRPr="00250FF0">
        <w:rPr>
          <w:rFonts w:ascii="Times New Roman" w:eastAsia="TimesNewRomanPSMT" w:hAnsi="Times New Roman"/>
          <w:sz w:val="24"/>
          <w:szCs w:val="24"/>
          <w:vertAlign w:val="superscript"/>
          <w:lang w:val="en-GB"/>
        </w:rPr>
        <w:t>3</w:t>
      </w:r>
      <w:r w:rsidR="002203D7"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 </w:t>
      </w:r>
      <w:r w:rsidRPr="00250FF0">
        <w:rPr>
          <w:rFonts w:ascii="Times New Roman" w:hAnsi="Times New Roman"/>
          <w:sz w:val="24"/>
          <w:szCs w:val="24"/>
          <w:lang w:val="en-GB"/>
        </w:rPr>
        <w:lastRenderedPageBreak/>
        <w:t>min</w:t>
      </w:r>
      <w:r w:rsidR="002203D7" w:rsidRPr="00250FF0">
        <w:rPr>
          <w:rFonts w:ascii="Times New Roman" w:hAnsi="Times New Roman"/>
          <w:sz w:val="24"/>
          <w:szCs w:val="24"/>
          <w:vertAlign w:val="superscript"/>
          <w:lang w:val="en-GB"/>
        </w:rPr>
        <w:t>-1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E1667" w:rsidRPr="002E1667">
        <w:rPr>
          <w:rFonts w:ascii="Times New Roman" w:hAnsi="Times New Roman"/>
          <w:sz w:val="24"/>
          <w:szCs w:val="24"/>
          <w:lang w:val="en-GB"/>
        </w:rPr>
        <w:t xml:space="preserve">in an oven at 40 </w:t>
      </w:r>
      <w:proofErr w:type="spellStart"/>
      <w:r w:rsidR="00804C24">
        <w:rPr>
          <w:rFonts w:ascii="Times New Roman" w:hAnsi="Times New Roman"/>
          <w:sz w:val="24"/>
          <w:szCs w:val="24"/>
          <w:vertAlign w:val="superscript"/>
          <w:lang w:val="en-GB"/>
        </w:rPr>
        <w:t>o</w:t>
      </w:r>
      <w:r w:rsidR="00804C24" w:rsidRPr="00250FF0">
        <w:rPr>
          <w:rFonts w:ascii="Times New Roman" w:hAnsi="Times New Roman"/>
          <w:sz w:val="24"/>
          <w:szCs w:val="24"/>
          <w:lang w:val="en-GB"/>
        </w:rPr>
        <w:t>C</w:t>
      </w:r>
      <w:proofErr w:type="spellEnd"/>
      <w:r w:rsidR="002E1667" w:rsidRPr="002E1667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40 </w:t>
      </w:r>
      <w:r w:rsidR="002203D7" w:rsidRPr="00250FF0">
        <w:rPr>
          <w:rFonts w:ascii="Times New Roman" w:eastAsia="TimesNewRomanPSMT" w:hAnsi="Times New Roman"/>
          <w:sz w:val="24"/>
          <w:szCs w:val="24"/>
          <w:lang w:val="en-GB"/>
        </w:rPr>
        <w:t>mm</w:t>
      </w:r>
      <w:r w:rsidR="002203D7" w:rsidRPr="00250FF0">
        <w:rPr>
          <w:rFonts w:ascii="Times New Roman" w:eastAsia="TimesNewRomanPSMT" w:hAnsi="Times New Roman"/>
          <w:sz w:val="24"/>
          <w:szCs w:val="24"/>
          <w:vertAlign w:val="superscript"/>
          <w:lang w:val="en-GB"/>
        </w:rPr>
        <w:t>3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injection volume, and quantification at 214 nm. The detection and quantification limits were 0.0009 and 0.003 mg </w:t>
      </w:r>
      <w:r w:rsidR="002203D7" w:rsidRPr="00250FF0">
        <w:rPr>
          <w:rFonts w:ascii="Times New Roman" w:eastAsia="TimesNewRomanPSMT" w:hAnsi="Times New Roman"/>
          <w:sz w:val="24"/>
          <w:szCs w:val="24"/>
          <w:lang w:val="en-GB"/>
        </w:rPr>
        <w:t>dm</w:t>
      </w:r>
      <w:r w:rsidR="009843D1" w:rsidRPr="00250FF0">
        <w:rPr>
          <w:rFonts w:ascii="Times New Roman" w:eastAsia="TimesNewRomanPSMT" w:hAnsi="Times New Roman"/>
          <w:sz w:val="24"/>
          <w:szCs w:val="24"/>
          <w:vertAlign w:val="superscript"/>
          <w:lang w:val="en-GB"/>
        </w:rPr>
        <w:t>-3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, respectively.  </w:t>
      </w:r>
    </w:p>
    <w:p w14:paraId="264B61C7" w14:textId="77777777" w:rsidR="004D59AD" w:rsidRPr="00250FF0" w:rsidRDefault="004D59AD" w:rsidP="004D5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val="en-GB"/>
        </w:rPr>
      </w:pPr>
    </w:p>
    <w:p w14:paraId="34F2E2EA" w14:textId="77777777" w:rsidR="004D59AD" w:rsidRPr="00250FF0" w:rsidRDefault="004D59AD" w:rsidP="004D5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250FF0">
        <w:rPr>
          <w:rFonts w:ascii="Times New Roman" w:eastAsia="TimesNewRomanPSMT" w:hAnsi="Times New Roman"/>
          <w:i/>
          <w:sz w:val="24"/>
          <w:szCs w:val="24"/>
          <w:lang w:val="en-GB"/>
        </w:rPr>
        <w:t>Data analysis</w:t>
      </w:r>
    </w:p>
    <w:p w14:paraId="64F7F9C1" w14:textId="77777777" w:rsidR="004D59AD" w:rsidRPr="00250FF0" w:rsidRDefault="004D59AD" w:rsidP="004D5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val="en-GB"/>
        </w:rPr>
      </w:pPr>
    </w:p>
    <w:p w14:paraId="18355DA6" w14:textId="36A57C73" w:rsidR="000B12D4" w:rsidRPr="00250FF0" w:rsidRDefault="0071327A" w:rsidP="009D484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50FF0">
        <w:rPr>
          <w:rFonts w:ascii="Times New Roman" w:hAnsi="Times New Roman"/>
          <w:sz w:val="24"/>
          <w:szCs w:val="24"/>
          <w:lang w:val="en-GB"/>
        </w:rPr>
        <w:t>Ads</w:t>
      </w:r>
      <w:r w:rsidR="00F46C56" w:rsidRPr="00250FF0">
        <w:rPr>
          <w:rFonts w:ascii="Times New Roman" w:hAnsi="Times New Roman"/>
          <w:sz w:val="24"/>
          <w:szCs w:val="24"/>
          <w:lang w:val="en-GB"/>
        </w:rPr>
        <w:t>orption-</w:t>
      </w:r>
      <w:r w:rsidR="004D59AD" w:rsidRPr="00250FF0">
        <w:rPr>
          <w:rFonts w:ascii="Times New Roman" w:hAnsi="Times New Roman"/>
          <w:sz w:val="24"/>
          <w:szCs w:val="24"/>
          <w:lang w:val="en-GB"/>
        </w:rPr>
        <w:t>desorption coe</w:t>
      </w:r>
      <w:r w:rsidR="004D59AD" w:rsidRPr="00250FF0">
        <w:rPr>
          <w:rFonts w:ascii="Times New Roman" w:hAnsi="Cambria Math"/>
          <w:sz w:val="24"/>
          <w:szCs w:val="24"/>
          <w:lang w:val="en-GB"/>
        </w:rPr>
        <w:t>ﬃ</w:t>
      </w:r>
      <w:r w:rsidR="004D59AD" w:rsidRPr="00250FF0">
        <w:rPr>
          <w:rFonts w:ascii="Times New Roman" w:hAnsi="Times New Roman"/>
          <w:sz w:val="24"/>
          <w:szCs w:val="24"/>
          <w:lang w:val="en-GB"/>
        </w:rPr>
        <w:t>cients (</w:t>
      </w:r>
      <w:proofErr w:type="spellStart"/>
      <w:proofErr w:type="gramStart"/>
      <w:r w:rsidR="004D59AD" w:rsidRPr="00250FF0">
        <w:rPr>
          <w:rFonts w:ascii="Times New Roman" w:hAnsi="Times New Roman"/>
          <w:i/>
          <w:sz w:val="24"/>
          <w:szCs w:val="24"/>
          <w:lang w:val="en-GB"/>
        </w:rPr>
        <w:t>K</w:t>
      </w:r>
      <w:r w:rsidR="004D59AD" w:rsidRPr="004D4DDD">
        <w:rPr>
          <w:rFonts w:ascii="Times New Roman" w:hAnsi="Times New Roman"/>
          <w:sz w:val="24"/>
          <w:szCs w:val="24"/>
          <w:vertAlign w:val="subscript"/>
          <w:lang w:val="en-GB"/>
        </w:rPr>
        <w:t>d</w:t>
      </w:r>
      <w:proofErr w:type="spellEnd"/>
      <w:proofErr w:type="gramEnd"/>
      <w:r w:rsidR="00197C5A" w:rsidRPr="00250FF0">
        <w:rPr>
          <w:rFonts w:ascii="Times New Roman" w:hAnsi="Times New Roman"/>
          <w:sz w:val="24"/>
          <w:szCs w:val="24"/>
          <w:lang w:val="en-GB"/>
        </w:rPr>
        <w:t xml:space="preserve"> / dm</w:t>
      </w:r>
      <w:r w:rsidR="00197C5A" w:rsidRPr="00250FF0"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  <w:r w:rsidR="00082E4A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 </w:t>
      </w:r>
      <w:r w:rsidR="004D59AD" w:rsidRPr="00250FF0">
        <w:rPr>
          <w:rFonts w:ascii="Times New Roman" w:hAnsi="Times New Roman"/>
          <w:sz w:val="24"/>
          <w:szCs w:val="24"/>
          <w:lang w:val="en-GB"/>
        </w:rPr>
        <w:t>kg</w:t>
      </w:r>
      <w:r w:rsidR="00197C5A" w:rsidRPr="00250FF0">
        <w:rPr>
          <w:rFonts w:ascii="Times New Roman" w:hAnsi="Times New Roman"/>
          <w:sz w:val="24"/>
          <w:szCs w:val="24"/>
          <w:vertAlign w:val="superscript"/>
          <w:lang w:val="en-GB"/>
        </w:rPr>
        <w:t>-1</w:t>
      </w:r>
      <w:r w:rsidR="004D59AD" w:rsidRPr="00250FF0">
        <w:rPr>
          <w:rFonts w:ascii="Times New Roman" w:hAnsi="Times New Roman"/>
          <w:sz w:val="24"/>
          <w:szCs w:val="24"/>
          <w:lang w:val="en-GB"/>
        </w:rPr>
        <w:t xml:space="preserve">) were calculated as </w:t>
      </w:r>
      <w:r w:rsidR="00A5611D" w:rsidRPr="00250FF0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4D59AD" w:rsidRPr="00250FF0">
        <w:rPr>
          <w:rFonts w:ascii="Times New Roman" w:hAnsi="Times New Roman"/>
          <w:sz w:val="24"/>
          <w:szCs w:val="24"/>
          <w:lang w:val="en-GB"/>
        </w:rPr>
        <w:t xml:space="preserve">relation of the herbicide concentration in soil after </w:t>
      </w:r>
      <w:r w:rsidR="00A5611D" w:rsidRPr="00250FF0">
        <w:rPr>
          <w:rFonts w:ascii="Times New Roman" w:hAnsi="Times New Roman"/>
          <w:sz w:val="24"/>
          <w:szCs w:val="24"/>
          <w:lang w:val="en-GB"/>
        </w:rPr>
        <w:t xml:space="preserve">the completion of </w:t>
      </w:r>
      <w:r w:rsidR="004D59AD" w:rsidRPr="00250FF0">
        <w:rPr>
          <w:rFonts w:ascii="Times New Roman" w:hAnsi="Times New Roman"/>
          <w:sz w:val="24"/>
          <w:szCs w:val="24"/>
          <w:lang w:val="en-GB"/>
        </w:rPr>
        <w:t>adsorption</w:t>
      </w:r>
      <w:r w:rsidR="00F46C56" w:rsidRPr="00250FF0">
        <w:rPr>
          <w:rFonts w:ascii="Times New Roman" w:hAnsi="Times New Roman"/>
          <w:sz w:val="24"/>
          <w:szCs w:val="24"/>
          <w:lang w:val="en-GB"/>
        </w:rPr>
        <w:t>-</w:t>
      </w:r>
      <w:r w:rsidR="004D59AD" w:rsidRPr="00250FF0">
        <w:rPr>
          <w:rFonts w:ascii="Times New Roman" w:hAnsi="Times New Roman"/>
          <w:sz w:val="24"/>
          <w:szCs w:val="24"/>
          <w:lang w:val="en-GB"/>
        </w:rPr>
        <w:t>desorption experiments (</w:t>
      </w:r>
      <w:proofErr w:type="spellStart"/>
      <w:r w:rsidR="00703A5C">
        <w:rPr>
          <w:rFonts w:ascii="Times New Roman" w:hAnsi="Times New Roman"/>
          <w:i/>
          <w:iCs/>
          <w:sz w:val="24"/>
          <w:szCs w:val="24"/>
          <w:lang w:val="en-GB"/>
        </w:rPr>
        <w:t>c</w:t>
      </w:r>
      <w:r w:rsidR="00703A5C" w:rsidRPr="00703A5C">
        <w:rPr>
          <w:rFonts w:ascii="Times New Roman" w:hAnsi="Times New Roman"/>
          <w:sz w:val="24"/>
          <w:szCs w:val="24"/>
          <w:vertAlign w:val="subscript"/>
          <w:lang w:val="en-GB"/>
        </w:rPr>
        <w:t>s</w:t>
      </w:r>
      <w:proofErr w:type="spellEnd"/>
      <w:r w:rsidR="00703A5C"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97C5A" w:rsidRPr="00250FF0">
        <w:rPr>
          <w:rFonts w:ascii="Times New Roman" w:hAnsi="Times New Roman"/>
          <w:sz w:val="24"/>
          <w:szCs w:val="24"/>
          <w:lang w:val="en-GB"/>
        </w:rPr>
        <w:t>/</w:t>
      </w:r>
      <w:r w:rsidR="004D59AD" w:rsidRPr="00250FF0">
        <w:rPr>
          <w:rFonts w:ascii="Times New Roman" w:hAnsi="Times New Roman"/>
          <w:sz w:val="24"/>
          <w:szCs w:val="24"/>
          <w:lang w:val="en-GB"/>
        </w:rPr>
        <w:t xml:space="preserve"> mg</w:t>
      </w:r>
      <w:r w:rsidR="00197C5A"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D59AD" w:rsidRPr="00250FF0">
        <w:rPr>
          <w:rFonts w:ascii="Times New Roman" w:hAnsi="Times New Roman"/>
          <w:sz w:val="24"/>
          <w:szCs w:val="24"/>
          <w:lang w:val="en-GB"/>
        </w:rPr>
        <w:t>kg</w:t>
      </w:r>
      <w:r w:rsidR="00197C5A" w:rsidRPr="00250FF0">
        <w:rPr>
          <w:rFonts w:ascii="Times New Roman" w:hAnsi="Times New Roman"/>
          <w:sz w:val="24"/>
          <w:szCs w:val="24"/>
          <w:vertAlign w:val="superscript"/>
          <w:lang w:val="en-GB"/>
        </w:rPr>
        <w:t>-1</w:t>
      </w:r>
      <w:r w:rsidR="004D59AD" w:rsidRPr="00250FF0">
        <w:rPr>
          <w:rFonts w:ascii="Times New Roman" w:hAnsi="Times New Roman"/>
          <w:sz w:val="24"/>
          <w:szCs w:val="24"/>
          <w:lang w:val="en-GB"/>
        </w:rPr>
        <w:t>) and equilibrium concentration in the solution (</w:t>
      </w:r>
      <w:proofErr w:type="spellStart"/>
      <w:r w:rsidR="00CE159F">
        <w:rPr>
          <w:rFonts w:ascii="Times New Roman" w:hAnsi="Times New Roman"/>
          <w:i/>
          <w:iCs/>
          <w:sz w:val="24"/>
          <w:szCs w:val="24"/>
          <w:lang w:val="en-GB"/>
        </w:rPr>
        <w:t>c</w:t>
      </w:r>
      <w:r w:rsidR="00CE159F" w:rsidRPr="0091667E">
        <w:rPr>
          <w:rFonts w:ascii="Times New Roman" w:hAnsi="Times New Roman"/>
          <w:sz w:val="24"/>
          <w:szCs w:val="24"/>
          <w:vertAlign w:val="subscript"/>
          <w:lang w:val="en-GB"/>
        </w:rPr>
        <w:t>e</w:t>
      </w:r>
      <w:proofErr w:type="spellEnd"/>
      <w:r w:rsidR="00CE159F"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F3253" w:rsidRPr="00250FF0">
        <w:rPr>
          <w:rFonts w:ascii="Times New Roman" w:hAnsi="Times New Roman"/>
          <w:sz w:val="24"/>
          <w:szCs w:val="24"/>
          <w:lang w:val="en-GB"/>
        </w:rPr>
        <w:t>/</w:t>
      </w:r>
      <w:r w:rsidR="004D59AD" w:rsidRPr="00250FF0">
        <w:rPr>
          <w:rFonts w:ascii="Times New Roman" w:hAnsi="Times New Roman"/>
          <w:sz w:val="24"/>
          <w:szCs w:val="24"/>
          <w:lang w:val="en-GB"/>
        </w:rPr>
        <w:t xml:space="preserve"> mg</w:t>
      </w:r>
      <w:r w:rsidR="003F3253"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F3253" w:rsidRPr="00250FF0">
        <w:rPr>
          <w:rFonts w:ascii="Times New Roman" w:eastAsia="TimesNewRomanPSMT" w:hAnsi="Times New Roman"/>
          <w:sz w:val="24"/>
          <w:szCs w:val="24"/>
          <w:lang w:val="en-GB"/>
        </w:rPr>
        <w:t>dm</w:t>
      </w:r>
      <w:r w:rsidR="003F3253" w:rsidRPr="00250FF0">
        <w:rPr>
          <w:rFonts w:ascii="Times New Roman" w:eastAsia="TimesNewRomanPSMT" w:hAnsi="Times New Roman"/>
          <w:sz w:val="24"/>
          <w:szCs w:val="24"/>
          <w:vertAlign w:val="superscript"/>
          <w:lang w:val="en-GB"/>
        </w:rPr>
        <w:t>-3</w:t>
      </w:r>
      <w:r w:rsidR="004D59AD" w:rsidRPr="00250FF0">
        <w:rPr>
          <w:rFonts w:ascii="Times New Roman" w:hAnsi="Times New Roman"/>
          <w:sz w:val="24"/>
          <w:szCs w:val="24"/>
          <w:lang w:val="en-GB"/>
        </w:rPr>
        <w:t>)</w:t>
      </w:r>
      <w:r w:rsidR="00F11DDA" w:rsidRPr="00250FF0">
        <w:rPr>
          <w:rFonts w:ascii="Times New Roman" w:hAnsi="Times New Roman"/>
          <w:sz w:val="24"/>
          <w:szCs w:val="24"/>
          <w:lang w:val="en-GB"/>
        </w:rPr>
        <w:t xml:space="preserve"> according to Eq. (1)</w:t>
      </w:r>
      <w:r w:rsidR="004D59AD" w:rsidRPr="00250FF0">
        <w:rPr>
          <w:rFonts w:ascii="Times New Roman" w:hAnsi="Times New Roman"/>
          <w:sz w:val="24"/>
          <w:szCs w:val="24"/>
          <w:lang w:val="en-GB"/>
        </w:rPr>
        <w:t xml:space="preserve">: </w:t>
      </w:r>
    </w:p>
    <w:p w14:paraId="5256586F" w14:textId="1DE23B8D" w:rsidR="008053EE" w:rsidRPr="00250FF0" w:rsidRDefault="002B63D5" w:rsidP="005A6B00">
      <w:pPr>
        <w:widowControl w:val="0"/>
        <w:tabs>
          <w:tab w:val="center" w:pos="4536"/>
          <w:tab w:val="right" w:pos="9072"/>
        </w:tabs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250FF0">
        <w:rPr>
          <w:rFonts w:ascii="Times New Roman" w:hAnsi="Times New Roman"/>
          <w:sz w:val="24"/>
          <w:szCs w:val="24"/>
          <w:lang w:val="en-GB"/>
        </w:rPr>
        <w:tab/>
      </w:r>
      <w:r w:rsidR="00587AC9" w:rsidRPr="00326716">
        <w:rPr>
          <w:noProof/>
          <w:position w:val="-30"/>
        </w:rPr>
        <w:object w:dxaOrig="820" w:dyaOrig="680" w14:anchorId="3FB94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.25pt;height:33.75pt;mso-width-percent:0;mso-height-percent:0;mso-width-percent:0;mso-height-percent:0" o:ole="">
            <v:imagedata r:id="rId9" o:title=""/>
          </v:shape>
          <o:OLEObject Type="Embed" ProgID="Equation.DSMT4" ShapeID="_x0000_i1025" DrawAspect="Content" ObjectID="_1630826814" r:id="rId10"/>
        </w:object>
      </w:r>
      <w:r w:rsidRPr="00250FF0">
        <w:rPr>
          <w:rFonts w:ascii="Times New Roman" w:hAnsi="Times New Roman"/>
          <w:sz w:val="24"/>
          <w:szCs w:val="24"/>
          <w:lang w:val="en-GB"/>
        </w:rPr>
        <w:tab/>
        <w:t>(1)</w:t>
      </w:r>
    </w:p>
    <w:p w14:paraId="558B7DD4" w14:textId="77777777" w:rsidR="001A4211" w:rsidRPr="00250FF0" w:rsidRDefault="001A4211" w:rsidP="001A42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50FF0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250FF0">
        <w:rPr>
          <w:rFonts w:ascii="Times New Roman" w:hAnsi="Times New Roman"/>
          <w:i/>
          <w:iCs/>
          <w:sz w:val="24"/>
          <w:szCs w:val="24"/>
          <w:lang w:val="en-GB"/>
        </w:rPr>
        <w:t>K</w:t>
      </w:r>
      <w:r w:rsidRPr="00703A5C">
        <w:rPr>
          <w:rFonts w:ascii="Times New Roman" w:hAnsi="Times New Roman"/>
          <w:sz w:val="24"/>
          <w:szCs w:val="24"/>
          <w:vertAlign w:val="subscript"/>
          <w:lang w:val="en-GB"/>
        </w:rPr>
        <w:t>OC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coefficients were calculated by normalizing </w:t>
      </w:r>
      <w:proofErr w:type="spellStart"/>
      <w:proofErr w:type="gramStart"/>
      <w:r w:rsidRPr="00250FF0">
        <w:rPr>
          <w:rFonts w:ascii="Times New Roman" w:hAnsi="Times New Roman"/>
          <w:i/>
          <w:sz w:val="24"/>
          <w:szCs w:val="24"/>
          <w:lang w:val="en-GB"/>
        </w:rPr>
        <w:t>K</w:t>
      </w:r>
      <w:r w:rsidRPr="00703A5C">
        <w:rPr>
          <w:rFonts w:ascii="Times New Roman" w:hAnsi="Times New Roman"/>
          <w:sz w:val="24"/>
          <w:szCs w:val="24"/>
          <w:vertAlign w:val="subscript"/>
          <w:lang w:val="en-GB"/>
        </w:rPr>
        <w:t>d</w:t>
      </w:r>
      <w:proofErr w:type="spellEnd"/>
      <w:proofErr w:type="gramEnd"/>
      <w:r w:rsidRPr="00703A5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50FF0">
        <w:rPr>
          <w:rFonts w:ascii="Times New Roman" w:hAnsi="Times New Roman"/>
          <w:sz w:val="24"/>
          <w:szCs w:val="24"/>
          <w:lang w:val="en-GB"/>
        </w:rPr>
        <w:t>coefficients with the OC content of the soils investigated according to equation:</w:t>
      </w:r>
    </w:p>
    <w:p w14:paraId="6367103F" w14:textId="77777777" w:rsidR="001A4211" w:rsidRPr="00250FF0" w:rsidRDefault="001A4211" w:rsidP="001A4211">
      <w:pPr>
        <w:widowControl w:val="0"/>
        <w:tabs>
          <w:tab w:val="center" w:pos="4536"/>
          <w:tab w:val="right" w:pos="9072"/>
        </w:tabs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250FF0">
        <w:rPr>
          <w:rFonts w:ascii="Times New Roman" w:hAnsi="Times New Roman"/>
          <w:sz w:val="24"/>
          <w:szCs w:val="24"/>
          <w:lang w:val="en-GB"/>
        </w:rPr>
        <w:tab/>
      </w:r>
      <w:r w:rsidR="00FE7AEB" w:rsidRPr="00587AC9">
        <w:rPr>
          <w:rFonts w:ascii="Times New Roman" w:hAnsi="Times New Roman"/>
          <w:noProof/>
          <w:position w:val="-28"/>
          <w:sz w:val="24"/>
          <w:szCs w:val="24"/>
          <w:lang w:val="en-GB"/>
        </w:rPr>
        <w:object w:dxaOrig="1900" w:dyaOrig="660" w14:anchorId="73874C82">
          <v:shape id="_x0000_i1026" type="#_x0000_t75" alt="" style="width:95.25pt;height:32.25pt" o:ole="">
            <v:imagedata r:id="rId11" o:title=""/>
          </v:shape>
          <o:OLEObject Type="Embed" ProgID="Equation.DSMT4" ShapeID="_x0000_i1026" DrawAspect="Content" ObjectID="_1630826815" r:id="rId12"/>
        </w:object>
      </w:r>
      <w:r w:rsidRPr="00250FF0">
        <w:rPr>
          <w:rFonts w:ascii="Times New Roman" w:hAnsi="Times New Roman"/>
          <w:sz w:val="24"/>
          <w:szCs w:val="24"/>
          <w:lang w:val="en-GB"/>
        </w:rPr>
        <w:tab/>
        <w:t>(</w:t>
      </w:r>
      <w:r w:rsidR="007452F4" w:rsidRPr="00250FF0">
        <w:rPr>
          <w:rFonts w:ascii="Times New Roman" w:hAnsi="Times New Roman"/>
          <w:sz w:val="24"/>
          <w:szCs w:val="24"/>
          <w:lang w:val="en-GB"/>
        </w:rPr>
        <w:t>2</w:t>
      </w:r>
      <w:r w:rsidRPr="00250FF0">
        <w:rPr>
          <w:rFonts w:ascii="Times New Roman" w:hAnsi="Times New Roman"/>
          <w:sz w:val="24"/>
          <w:szCs w:val="24"/>
          <w:lang w:val="en-GB"/>
        </w:rPr>
        <w:t>)</w:t>
      </w:r>
    </w:p>
    <w:p w14:paraId="03E71FC0" w14:textId="77777777" w:rsidR="00675AAF" w:rsidRPr="00250FF0" w:rsidRDefault="00A5611D" w:rsidP="00AD277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50FF0">
        <w:rPr>
          <w:rFonts w:ascii="Times New Roman" w:hAnsi="Times New Roman"/>
          <w:sz w:val="24"/>
          <w:szCs w:val="24"/>
          <w:lang w:val="en-GB"/>
        </w:rPr>
        <w:t>C</w:t>
      </w:r>
      <w:r w:rsidR="004D59AD" w:rsidRPr="00250FF0">
        <w:rPr>
          <w:rFonts w:ascii="Times New Roman" w:hAnsi="Times New Roman"/>
          <w:sz w:val="24"/>
          <w:szCs w:val="24"/>
          <w:lang w:val="en-GB"/>
        </w:rPr>
        <w:t xml:space="preserve">lomazone </w:t>
      </w:r>
      <w:r w:rsidR="00491D5B" w:rsidRPr="00250FF0">
        <w:rPr>
          <w:rFonts w:ascii="Times New Roman" w:hAnsi="Times New Roman"/>
          <w:sz w:val="24"/>
          <w:szCs w:val="24"/>
          <w:lang w:val="en-GB"/>
        </w:rPr>
        <w:t>ad</w:t>
      </w:r>
      <w:r w:rsidR="004D59AD" w:rsidRPr="00250FF0">
        <w:rPr>
          <w:rFonts w:ascii="Times New Roman" w:hAnsi="Times New Roman"/>
          <w:sz w:val="24"/>
          <w:szCs w:val="24"/>
          <w:lang w:val="en-GB"/>
        </w:rPr>
        <w:t>sorption and desorption isotherms were described by the linear f</w:t>
      </w:r>
      <w:r w:rsidR="00AD277E" w:rsidRPr="00250FF0">
        <w:rPr>
          <w:rFonts w:ascii="Times New Roman" w:hAnsi="Times New Roman"/>
          <w:sz w:val="24"/>
          <w:szCs w:val="24"/>
          <w:lang w:val="en-GB"/>
        </w:rPr>
        <w:t xml:space="preserve">orm of the </w:t>
      </w:r>
      <w:proofErr w:type="spellStart"/>
      <w:r w:rsidR="00AD277E" w:rsidRPr="00250FF0">
        <w:rPr>
          <w:rFonts w:ascii="Times New Roman" w:hAnsi="Times New Roman"/>
          <w:sz w:val="24"/>
          <w:szCs w:val="24"/>
          <w:lang w:val="en-GB"/>
        </w:rPr>
        <w:t>Freundlich</w:t>
      </w:r>
      <w:proofErr w:type="spellEnd"/>
      <w:r w:rsidR="00AD277E" w:rsidRPr="00250FF0">
        <w:rPr>
          <w:rFonts w:ascii="Times New Roman" w:hAnsi="Times New Roman"/>
          <w:sz w:val="24"/>
          <w:szCs w:val="24"/>
          <w:lang w:val="en-GB"/>
        </w:rPr>
        <w:t xml:space="preserve"> equation:</w:t>
      </w:r>
    </w:p>
    <w:p w14:paraId="54B9BA94" w14:textId="77777777" w:rsidR="00C9050F" w:rsidRPr="00250FF0" w:rsidRDefault="00417A91" w:rsidP="005A6B00">
      <w:pPr>
        <w:widowControl w:val="0"/>
        <w:tabs>
          <w:tab w:val="center" w:pos="4536"/>
          <w:tab w:val="right" w:pos="9072"/>
        </w:tabs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250FF0">
        <w:rPr>
          <w:rFonts w:ascii="Times New Roman" w:hAnsi="Times New Roman"/>
          <w:sz w:val="24"/>
          <w:szCs w:val="24"/>
          <w:lang w:val="en-GB"/>
        </w:rPr>
        <w:tab/>
      </w:r>
      <w:r w:rsidR="00FE7AEB" w:rsidRPr="00587AC9">
        <w:rPr>
          <w:rFonts w:ascii="Times New Roman" w:hAnsi="Times New Roman"/>
          <w:noProof/>
          <w:position w:val="-24"/>
          <w:sz w:val="24"/>
          <w:szCs w:val="24"/>
          <w:lang w:val="en-GB"/>
        </w:rPr>
        <w:object w:dxaOrig="2360" w:dyaOrig="620" w14:anchorId="288F05AC">
          <v:shape id="_x0000_i1027" type="#_x0000_t75" alt="" style="width:119.25pt;height:30.75pt" o:ole="">
            <v:imagedata r:id="rId13" o:title=""/>
          </v:shape>
          <o:OLEObject Type="Embed" ProgID="Equation.DSMT4" ShapeID="_x0000_i1027" DrawAspect="Content" ObjectID="_1630826816" r:id="rId14"/>
        </w:object>
      </w:r>
      <w:r w:rsidRPr="00250FF0">
        <w:rPr>
          <w:rFonts w:ascii="Times New Roman" w:hAnsi="Times New Roman"/>
          <w:sz w:val="24"/>
          <w:szCs w:val="24"/>
          <w:lang w:val="en-GB"/>
        </w:rPr>
        <w:tab/>
        <w:t>(</w:t>
      </w:r>
      <w:r w:rsidR="007452F4" w:rsidRPr="00250FF0">
        <w:rPr>
          <w:rFonts w:ascii="Times New Roman" w:hAnsi="Times New Roman"/>
          <w:sz w:val="24"/>
          <w:szCs w:val="24"/>
          <w:lang w:val="en-GB"/>
        </w:rPr>
        <w:t>3</w:t>
      </w:r>
      <w:r w:rsidRPr="00250FF0">
        <w:rPr>
          <w:rFonts w:ascii="Times New Roman" w:hAnsi="Times New Roman"/>
          <w:sz w:val="24"/>
          <w:szCs w:val="24"/>
          <w:lang w:val="en-GB"/>
        </w:rPr>
        <w:t>)</w:t>
      </w:r>
    </w:p>
    <w:p w14:paraId="74379196" w14:textId="66BE5D4E" w:rsidR="00C9050F" w:rsidRPr="00250FF0" w:rsidRDefault="00C9050F" w:rsidP="008053EE">
      <w:pPr>
        <w:widowControl w:val="0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250FF0">
        <w:rPr>
          <w:rFonts w:ascii="Times New Roman" w:hAnsi="Times New Roman"/>
          <w:sz w:val="24"/>
          <w:szCs w:val="24"/>
          <w:lang w:val="en-GB"/>
        </w:rPr>
        <w:t>where</w:t>
      </w:r>
      <w:proofErr w:type="gram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E7AEB">
        <w:rPr>
          <w:rFonts w:ascii="Times New Roman" w:hAnsi="Times New Roman"/>
          <w:i/>
          <w:iCs/>
          <w:sz w:val="24"/>
          <w:szCs w:val="24"/>
          <w:lang w:val="en-GB"/>
        </w:rPr>
        <w:t>c</w:t>
      </w:r>
      <w:r w:rsidR="00FE7AEB" w:rsidRPr="00250FF0">
        <w:rPr>
          <w:rFonts w:ascii="Times New Roman" w:hAnsi="Times New Roman"/>
          <w:sz w:val="24"/>
          <w:szCs w:val="24"/>
          <w:vertAlign w:val="subscript"/>
          <w:lang w:val="en-GB"/>
        </w:rPr>
        <w:t>s</w:t>
      </w:r>
      <w:proofErr w:type="spellEnd"/>
      <w:r w:rsidR="00FE7AEB"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and </w:t>
      </w:r>
      <w:proofErr w:type="spellStart"/>
      <w:r w:rsidR="00FE7AEB">
        <w:rPr>
          <w:rFonts w:ascii="Times New Roman" w:hAnsi="Times New Roman"/>
          <w:i/>
          <w:iCs/>
          <w:sz w:val="24"/>
          <w:szCs w:val="24"/>
          <w:lang w:val="en-GB"/>
        </w:rPr>
        <w:t>c</w:t>
      </w:r>
      <w:r w:rsidR="00FE7AEB" w:rsidRPr="00250FF0">
        <w:rPr>
          <w:rFonts w:ascii="Times New Roman" w:hAnsi="Times New Roman"/>
          <w:sz w:val="24"/>
          <w:szCs w:val="24"/>
          <w:vertAlign w:val="subscript"/>
          <w:lang w:val="en-GB"/>
        </w:rPr>
        <w:t>e</w:t>
      </w:r>
      <w:proofErr w:type="spellEnd"/>
      <w:r w:rsidR="00FE7AEB"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have the same meaning as before, and </w:t>
      </w:r>
      <w:proofErr w:type="spellStart"/>
      <w:r w:rsidRPr="00C33D27">
        <w:rPr>
          <w:rFonts w:ascii="Times New Roman" w:hAnsi="Times New Roman"/>
          <w:i/>
          <w:iCs/>
          <w:sz w:val="24"/>
          <w:szCs w:val="24"/>
          <w:lang w:val="en-GB"/>
        </w:rPr>
        <w:t>K</w:t>
      </w:r>
      <w:r w:rsidRPr="00FE7AEB">
        <w:rPr>
          <w:rFonts w:ascii="Times New Roman" w:hAnsi="Times New Roman"/>
          <w:sz w:val="24"/>
          <w:szCs w:val="24"/>
          <w:vertAlign w:val="subscript"/>
          <w:lang w:val="en-GB"/>
        </w:rPr>
        <w:t>f</w:t>
      </w:r>
      <w:proofErr w:type="spellEnd"/>
      <w:r w:rsidR="009805B7" w:rsidRPr="00FE7AE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and </w:t>
      </w:r>
      <w:proofErr w:type="spellStart"/>
      <w:r w:rsidRPr="00250FF0">
        <w:rPr>
          <w:rFonts w:ascii="Times New Roman" w:hAnsi="Times New Roman"/>
          <w:i/>
          <w:iCs/>
          <w:sz w:val="24"/>
          <w:szCs w:val="24"/>
          <w:lang w:val="en-GB"/>
        </w:rPr>
        <w:t>n</w:t>
      </w:r>
      <w:r w:rsidRPr="00FE7AEB">
        <w:rPr>
          <w:rFonts w:ascii="Times New Roman" w:hAnsi="Times New Roman"/>
          <w:sz w:val="24"/>
          <w:szCs w:val="24"/>
          <w:vertAlign w:val="subscript"/>
          <w:lang w:val="en-GB"/>
        </w:rPr>
        <w:t>f</w:t>
      </w:r>
      <w:proofErr w:type="spellEnd"/>
      <w:r w:rsidR="009805B7" w:rsidRPr="00FE7AEB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are the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Freundlich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constants characterizing the adsorption-desorption capacity and intensity, respectively.</w:t>
      </w:r>
    </w:p>
    <w:p w14:paraId="12D90ED2" w14:textId="77777777" w:rsidR="00C9050F" w:rsidRPr="00250FF0" w:rsidRDefault="00C9050F" w:rsidP="00C9050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50FF0">
        <w:rPr>
          <w:rFonts w:ascii="Times New Roman" w:hAnsi="Times New Roman"/>
          <w:sz w:val="24"/>
          <w:szCs w:val="24"/>
          <w:lang w:val="en-GB"/>
        </w:rPr>
        <w:t>The desorption percentage (</w:t>
      </w:r>
      <w:r w:rsidRPr="00250FF0">
        <w:rPr>
          <w:rFonts w:ascii="Times New Roman" w:hAnsi="Times New Roman"/>
          <w:i/>
          <w:sz w:val="24"/>
          <w:szCs w:val="24"/>
          <w:lang w:val="en-GB"/>
        </w:rPr>
        <w:t>D</w:t>
      </w:r>
      <w:r w:rsidR="00D47929"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47929" w:rsidRPr="00C33D27">
        <w:rPr>
          <w:rFonts w:ascii="Times New Roman" w:hAnsi="Times New Roman"/>
          <w:sz w:val="24"/>
          <w:szCs w:val="24"/>
          <w:lang w:val="en-GB"/>
        </w:rPr>
        <w:t xml:space="preserve">/ </w:t>
      </w:r>
      <w:r w:rsidRPr="00C33D27">
        <w:rPr>
          <w:rFonts w:ascii="Times New Roman" w:hAnsi="Times New Roman"/>
          <w:sz w:val="24"/>
          <w:szCs w:val="24"/>
          <w:lang w:val="en-GB"/>
        </w:rPr>
        <w:t>%)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for all desorption steps were calculated </w:t>
      </w:r>
      <w:r w:rsidR="007452F4" w:rsidRPr="00250FF0">
        <w:rPr>
          <w:rFonts w:ascii="Times New Roman" w:hAnsi="Times New Roman"/>
          <w:sz w:val="24"/>
          <w:szCs w:val="24"/>
          <w:lang w:val="en-GB"/>
        </w:rPr>
        <w:t xml:space="preserve">by </w:t>
      </w:r>
      <w:proofErr w:type="spellStart"/>
      <w:r w:rsidR="007452F4" w:rsidRPr="00250FF0">
        <w:rPr>
          <w:rFonts w:ascii="Times New Roman" w:hAnsi="Times New Roman"/>
          <w:sz w:val="24"/>
          <w:szCs w:val="24"/>
          <w:lang w:val="en-GB"/>
        </w:rPr>
        <w:t>Eqs</w:t>
      </w:r>
      <w:proofErr w:type="spellEnd"/>
      <w:r w:rsidR="007452F4" w:rsidRPr="00250FF0">
        <w:rPr>
          <w:rFonts w:ascii="Times New Roman" w:hAnsi="Times New Roman"/>
          <w:sz w:val="24"/>
          <w:szCs w:val="24"/>
          <w:lang w:val="en-GB"/>
        </w:rPr>
        <w:t>. (4</w:t>
      </w:r>
      <w:r w:rsidRPr="00250FF0">
        <w:rPr>
          <w:rFonts w:ascii="Times New Roman" w:hAnsi="Times New Roman"/>
          <w:sz w:val="24"/>
          <w:szCs w:val="24"/>
          <w:lang w:val="en-GB"/>
        </w:rPr>
        <w:t>) and (</w:t>
      </w:r>
      <w:r w:rsidR="007452F4" w:rsidRPr="00250FF0">
        <w:rPr>
          <w:rFonts w:ascii="Times New Roman" w:hAnsi="Times New Roman"/>
          <w:sz w:val="24"/>
          <w:szCs w:val="24"/>
          <w:lang w:val="en-GB"/>
        </w:rPr>
        <w:t>5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): </w:t>
      </w:r>
    </w:p>
    <w:p w14:paraId="2C1A5459" w14:textId="77777777" w:rsidR="00E86A2B" w:rsidRPr="00250FF0" w:rsidRDefault="00C9050F" w:rsidP="00E86A2B">
      <w:pPr>
        <w:widowControl w:val="0"/>
        <w:tabs>
          <w:tab w:val="center" w:pos="4536"/>
          <w:tab w:val="right" w:pos="9072"/>
        </w:tabs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250FF0">
        <w:rPr>
          <w:rFonts w:ascii="Times New Roman" w:hAnsi="Times New Roman"/>
          <w:sz w:val="24"/>
          <w:szCs w:val="24"/>
          <w:lang w:val="en-GB"/>
        </w:rPr>
        <w:tab/>
      </w:r>
      <w:r w:rsidR="00587AC9" w:rsidRPr="00587AC9">
        <w:rPr>
          <w:rFonts w:ascii="Times New Roman" w:hAnsi="Times New Roman"/>
          <w:noProof/>
          <w:position w:val="-4"/>
          <w:sz w:val="24"/>
          <w:szCs w:val="24"/>
          <w:lang w:val="en-GB"/>
        </w:rPr>
        <w:object w:dxaOrig="180" w:dyaOrig="279" w14:anchorId="11D96770">
          <v:shape id="_x0000_i1028" type="#_x0000_t75" alt="" style="width:9.75pt;height:14.25pt;mso-width-percent:0;mso-height-percent:0;mso-width-percent:0;mso-height-percent:0" o:ole="">
            <v:imagedata r:id="rId15" o:title=""/>
          </v:shape>
          <o:OLEObject Type="Embed" ProgID="Equation.DSMT4" ShapeID="_x0000_i1028" DrawAspect="Content" ObjectID="_1630826817" r:id="rId16"/>
        </w:object>
      </w:r>
      <w:r w:rsidR="00587AC9" w:rsidRPr="00587AC9">
        <w:rPr>
          <w:rFonts w:ascii="Times New Roman" w:hAnsi="Times New Roman"/>
          <w:noProof/>
          <w:position w:val="-4"/>
          <w:sz w:val="24"/>
          <w:szCs w:val="24"/>
          <w:lang w:val="en-GB"/>
        </w:rPr>
        <w:object w:dxaOrig="180" w:dyaOrig="279" w14:anchorId="5C61DFE5">
          <v:shape id="_x0000_i1029" type="#_x0000_t75" alt="" style="width:9.75pt;height:14.25pt;mso-width-percent:0;mso-height-percent:0;mso-width-percent:0;mso-height-percent:0" o:ole="">
            <v:imagedata r:id="rId15" o:title=""/>
          </v:shape>
          <o:OLEObject Type="Embed" ProgID="Equation.DSMT4" ShapeID="_x0000_i1029" DrawAspect="Content" ObjectID="_1630826818" r:id="rId17"/>
        </w:object>
      </w:r>
      <w:r w:rsidR="009D7AE8" w:rsidRPr="00587AC9">
        <w:rPr>
          <w:rFonts w:ascii="Times New Roman" w:hAnsi="Times New Roman"/>
          <w:noProof/>
          <w:position w:val="-32"/>
          <w:sz w:val="24"/>
          <w:szCs w:val="24"/>
          <w:lang w:val="en-GB"/>
        </w:rPr>
        <w:object w:dxaOrig="2340" w:dyaOrig="740" w14:anchorId="31D7347A">
          <v:shape id="_x0000_i1030" type="#_x0000_t75" alt="" style="width:117pt;height:36.75pt" o:ole="">
            <v:imagedata r:id="rId18" o:title=""/>
          </v:shape>
          <o:OLEObject Type="Embed" ProgID="Equation.DSMT4" ShapeID="_x0000_i1030" DrawAspect="Content" ObjectID="_1630826819" r:id="rId19"/>
        </w:object>
      </w:r>
      <w:r w:rsidRPr="00250FF0">
        <w:rPr>
          <w:rFonts w:ascii="Times New Roman" w:hAnsi="Times New Roman"/>
          <w:sz w:val="24"/>
          <w:szCs w:val="24"/>
          <w:lang w:val="en-GB"/>
        </w:rPr>
        <w:tab/>
        <w:t>(</w:t>
      </w:r>
      <w:r w:rsidR="007452F4" w:rsidRPr="00250FF0">
        <w:rPr>
          <w:rFonts w:ascii="Times New Roman" w:hAnsi="Times New Roman"/>
          <w:sz w:val="24"/>
          <w:szCs w:val="24"/>
          <w:lang w:val="en-GB"/>
        </w:rPr>
        <w:t>4</w:t>
      </w:r>
      <w:r w:rsidRPr="00250FF0">
        <w:rPr>
          <w:rFonts w:ascii="Times New Roman" w:hAnsi="Times New Roman"/>
          <w:sz w:val="24"/>
          <w:szCs w:val="24"/>
          <w:lang w:val="en-GB"/>
        </w:rPr>
        <w:t>)</w:t>
      </w:r>
      <w:r w:rsidRPr="00250FF0">
        <w:rPr>
          <w:rFonts w:ascii="Times New Roman" w:hAnsi="Times New Roman"/>
          <w:sz w:val="24"/>
          <w:szCs w:val="24"/>
          <w:lang w:val="en-GB"/>
        </w:rPr>
        <w:br/>
      </w:r>
      <w:r w:rsidR="00E86A2B" w:rsidRPr="00250FF0">
        <w:rPr>
          <w:rFonts w:ascii="Times New Roman" w:hAnsi="Times New Roman"/>
          <w:sz w:val="24"/>
          <w:szCs w:val="24"/>
          <w:lang w:val="en-GB"/>
        </w:rPr>
        <w:tab/>
      </w:r>
      <w:r w:rsidR="00587AC9" w:rsidRPr="00587AC9">
        <w:rPr>
          <w:rFonts w:ascii="Times New Roman" w:hAnsi="Times New Roman"/>
          <w:noProof/>
          <w:position w:val="-4"/>
          <w:sz w:val="24"/>
          <w:szCs w:val="24"/>
          <w:lang w:val="en-GB"/>
        </w:rPr>
        <w:object w:dxaOrig="180" w:dyaOrig="279" w14:anchorId="2804EF75">
          <v:shape id="_x0000_i1031" type="#_x0000_t75" alt="" style="width:9.75pt;height:14.25pt;mso-width-percent:0;mso-height-percent:0;mso-width-percent:0;mso-height-percent:0" o:ole="">
            <v:imagedata r:id="rId15" o:title=""/>
          </v:shape>
          <o:OLEObject Type="Embed" ProgID="Equation.DSMT4" ShapeID="_x0000_i1031" DrawAspect="Content" ObjectID="_1630826820" r:id="rId20"/>
        </w:object>
      </w:r>
      <w:r w:rsidR="00533E4B" w:rsidRPr="00587AC9">
        <w:rPr>
          <w:rFonts w:ascii="Times New Roman" w:hAnsi="Times New Roman"/>
          <w:noProof/>
          <w:position w:val="-32"/>
          <w:sz w:val="24"/>
          <w:szCs w:val="24"/>
          <w:lang w:val="en-GB"/>
        </w:rPr>
        <w:object w:dxaOrig="2540" w:dyaOrig="740" w14:anchorId="60632BC0">
          <v:shape id="_x0000_i1032" type="#_x0000_t75" alt="" style="width:127.5pt;height:36.75pt" o:ole="">
            <v:imagedata r:id="rId21" o:title=""/>
          </v:shape>
          <o:OLEObject Type="Embed" ProgID="Equation.DSMT4" ShapeID="_x0000_i1032" DrawAspect="Content" ObjectID="_1630826821" r:id="rId22"/>
        </w:object>
      </w:r>
      <w:r w:rsidR="007452F4" w:rsidRPr="00250FF0">
        <w:rPr>
          <w:rFonts w:ascii="Times New Roman" w:hAnsi="Times New Roman"/>
          <w:sz w:val="24"/>
          <w:szCs w:val="24"/>
          <w:lang w:val="en-GB"/>
        </w:rPr>
        <w:tab/>
        <w:t>(5</w:t>
      </w:r>
      <w:r w:rsidR="00E86A2B" w:rsidRPr="00250FF0">
        <w:rPr>
          <w:rFonts w:ascii="Times New Roman" w:hAnsi="Times New Roman"/>
          <w:sz w:val="24"/>
          <w:szCs w:val="24"/>
          <w:lang w:val="en-GB"/>
        </w:rPr>
        <w:t>)</w:t>
      </w:r>
    </w:p>
    <w:p w14:paraId="0922ADCE" w14:textId="37B8C602" w:rsidR="00E86A2B" w:rsidRPr="00250FF0" w:rsidRDefault="00E86A2B" w:rsidP="00212CB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250FF0">
        <w:rPr>
          <w:rFonts w:ascii="Times New Roman" w:hAnsi="Times New Roman"/>
          <w:sz w:val="24"/>
          <w:szCs w:val="24"/>
          <w:lang w:val="en-GB"/>
        </w:rPr>
        <w:t>where</w:t>
      </w:r>
      <w:proofErr w:type="gram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92985">
        <w:rPr>
          <w:rFonts w:ascii="Times New Roman" w:hAnsi="Times New Roman"/>
          <w:i/>
          <w:sz w:val="24"/>
          <w:szCs w:val="24"/>
          <w:lang w:val="en-GB"/>
        </w:rPr>
        <w:t>c</w:t>
      </w:r>
      <w:r w:rsidR="00A92985" w:rsidRPr="00A92985">
        <w:rPr>
          <w:rFonts w:ascii="Times New Roman" w:hAnsi="Times New Roman"/>
          <w:sz w:val="24"/>
          <w:szCs w:val="24"/>
          <w:vertAlign w:val="subscript"/>
          <w:lang w:val="en-GB"/>
        </w:rPr>
        <w:t>s</w:t>
      </w:r>
      <w:proofErr w:type="spellEnd"/>
      <w:r w:rsidR="00A92985">
        <w:rPr>
          <w:rFonts w:ascii="Times New Roman" w:hAnsi="Times New Roman"/>
          <w:sz w:val="24"/>
          <w:szCs w:val="24"/>
          <w:vertAlign w:val="subscript"/>
          <w:lang w:val="en-GB"/>
        </w:rPr>
        <w:t xml:space="preserve"> </w:t>
      </w:r>
      <w:r w:rsidRPr="00A92985">
        <w:rPr>
          <w:rFonts w:ascii="Times New Roman" w:hAnsi="Times New Roman"/>
          <w:sz w:val="24"/>
          <w:szCs w:val="24"/>
          <w:vertAlign w:val="subscript"/>
          <w:lang w:val="en-GB"/>
        </w:rPr>
        <w:t>(ads)</w:t>
      </w:r>
      <w:r w:rsidRPr="00A9298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and </w:t>
      </w:r>
      <w:proofErr w:type="spellStart"/>
      <w:r w:rsidR="00A92985">
        <w:rPr>
          <w:rFonts w:ascii="Times New Roman" w:hAnsi="Times New Roman"/>
          <w:i/>
          <w:sz w:val="24"/>
          <w:szCs w:val="24"/>
          <w:lang w:val="en-GB"/>
        </w:rPr>
        <w:t>c</w:t>
      </w:r>
      <w:r w:rsidR="00A92985" w:rsidRPr="00A92985">
        <w:rPr>
          <w:rFonts w:ascii="Times New Roman" w:hAnsi="Times New Roman"/>
          <w:sz w:val="24"/>
          <w:szCs w:val="24"/>
          <w:vertAlign w:val="subscript"/>
          <w:lang w:val="en-GB"/>
        </w:rPr>
        <w:t>s</w:t>
      </w:r>
      <w:proofErr w:type="spellEnd"/>
      <w:r w:rsidR="00A92985" w:rsidRPr="00A92985">
        <w:rPr>
          <w:rFonts w:ascii="Times New Roman" w:hAnsi="Times New Roman"/>
          <w:sz w:val="24"/>
          <w:szCs w:val="24"/>
          <w:vertAlign w:val="subscript"/>
          <w:lang w:val="en-GB"/>
        </w:rPr>
        <w:t xml:space="preserve"> </w:t>
      </w:r>
      <w:r w:rsidRPr="00A92985">
        <w:rPr>
          <w:rFonts w:ascii="Times New Roman" w:hAnsi="Times New Roman"/>
          <w:sz w:val="24"/>
          <w:szCs w:val="24"/>
          <w:vertAlign w:val="subscript"/>
          <w:lang w:val="en-GB"/>
        </w:rPr>
        <w:t xml:space="preserve">(des, </w:t>
      </w:r>
      <w:proofErr w:type="spellStart"/>
      <w:r w:rsidRPr="00A92985">
        <w:rPr>
          <w:rFonts w:ascii="Times New Roman" w:hAnsi="Times New Roman"/>
          <w:sz w:val="24"/>
          <w:szCs w:val="24"/>
          <w:vertAlign w:val="subscript"/>
          <w:lang w:val="en-GB"/>
        </w:rPr>
        <w:t>i</w:t>
      </w:r>
      <w:proofErr w:type="spellEnd"/>
      <w:r w:rsidRPr="00A92985">
        <w:rPr>
          <w:rFonts w:ascii="Times New Roman" w:hAnsi="Times New Roman"/>
          <w:sz w:val="24"/>
          <w:szCs w:val="24"/>
          <w:vertAlign w:val="subscript"/>
          <w:lang w:val="en-GB"/>
        </w:rPr>
        <w:t>)</w:t>
      </w:r>
      <w:r w:rsidRPr="00A9298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50FF0">
        <w:rPr>
          <w:rFonts w:ascii="Times New Roman" w:hAnsi="Times New Roman"/>
          <w:sz w:val="24"/>
          <w:szCs w:val="24"/>
          <w:lang w:val="en-GB"/>
        </w:rPr>
        <w:t>are clomazone concentration</w:t>
      </w:r>
      <w:r w:rsidR="00212CB6" w:rsidRPr="00250FF0">
        <w:rPr>
          <w:rFonts w:ascii="Times New Roman" w:hAnsi="Times New Roman"/>
          <w:sz w:val="24"/>
          <w:szCs w:val="24"/>
          <w:lang w:val="en-GB"/>
        </w:rPr>
        <w:t>s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in the soil after </w:t>
      </w:r>
      <w:r w:rsidR="00212CB6" w:rsidRPr="00250FF0">
        <w:rPr>
          <w:rFonts w:ascii="Times New Roman" w:hAnsi="Times New Roman"/>
          <w:sz w:val="24"/>
          <w:szCs w:val="24"/>
          <w:lang w:val="en-GB"/>
        </w:rPr>
        <w:t xml:space="preserve">the completion of </w:t>
      </w:r>
      <w:r w:rsidRPr="00250FF0">
        <w:rPr>
          <w:rFonts w:ascii="Times New Roman" w:hAnsi="Times New Roman"/>
          <w:sz w:val="24"/>
          <w:szCs w:val="24"/>
          <w:lang w:val="en-GB"/>
        </w:rPr>
        <w:t>adsorption and desorption steps, respectively,</w:t>
      </w:r>
      <w:r w:rsidR="00E101AD"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and </w:t>
      </w:r>
      <w:proofErr w:type="spellStart"/>
      <w:r w:rsidRPr="00250FF0">
        <w:rPr>
          <w:rFonts w:ascii="Times New Roman" w:hAnsi="Times New Roman"/>
          <w:i/>
          <w:sz w:val="24"/>
          <w:szCs w:val="24"/>
          <w:lang w:val="en-GB"/>
        </w:rPr>
        <w:t>i</w:t>
      </w:r>
      <w:proofErr w:type="spellEnd"/>
      <w:r w:rsidRPr="00250FF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is </w:t>
      </w:r>
      <w:r w:rsidR="00CA5312" w:rsidRPr="00250FF0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250FF0">
        <w:rPr>
          <w:rFonts w:ascii="Times New Roman" w:hAnsi="Times New Roman"/>
          <w:sz w:val="24"/>
          <w:szCs w:val="24"/>
          <w:lang w:val="en-GB"/>
        </w:rPr>
        <w:t>number of desorption step</w:t>
      </w:r>
      <w:r w:rsidR="00CA5312" w:rsidRPr="00250FF0">
        <w:rPr>
          <w:rFonts w:ascii="Times New Roman" w:hAnsi="Times New Roman"/>
          <w:sz w:val="24"/>
          <w:szCs w:val="24"/>
          <w:lang w:val="en-GB"/>
        </w:rPr>
        <w:t>s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Pr="00250FF0">
        <w:rPr>
          <w:rFonts w:ascii="Times New Roman" w:hAnsi="Times New Roman"/>
          <w:i/>
          <w:sz w:val="24"/>
          <w:szCs w:val="24"/>
          <w:lang w:val="en-GB"/>
        </w:rPr>
        <w:t>i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>=1-3).</w:t>
      </w:r>
    </w:p>
    <w:p w14:paraId="127278A7" w14:textId="77777777" w:rsidR="00E86A2B" w:rsidRPr="00250FF0" w:rsidRDefault="00E86A2B" w:rsidP="001A421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50FF0">
        <w:rPr>
          <w:rFonts w:ascii="Times New Roman" w:hAnsi="Times New Roman"/>
          <w:sz w:val="24"/>
          <w:szCs w:val="24"/>
          <w:lang w:val="en-GB"/>
        </w:rPr>
        <w:t>For both soils and all concentration</w:t>
      </w:r>
      <w:r w:rsidR="00CA5312" w:rsidRPr="00250FF0">
        <w:rPr>
          <w:rFonts w:ascii="Times New Roman" w:hAnsi="Times New Roman"/>
          <w:sz w:val="24"/>
          <w:szCs w:val="24"/>
          <w:lang w:val="en-GB"/>
        </w:rPr>
        <w:t>s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tested, the hysteresis coefficients (</w:t>
      </w:r>
      <w:r w:rsidRPr="00250FF0">
        <w:rPr>
          <w:rFonts w:ascii="Times New Roman" w:hAnsi="Times New Roman"/>
          <w:i/>
          <w:iCs/>
          <w:sz w:val="24"/>
          <w:szCs w:val="24"/>
          <w:lang w:val="en-GB"/>
        </w:rPr>
        <w:t>H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) were calculated for the </w:t>
      </w:r>
      <w:r w:rsidR="0071327A" w:rsidRPr="00250FF0">
        <w:rPr>
          <w:rFonts w:ascii="Times New Roman" w:hAnsi="Times New Roman"/>
          <w:sz w:val="24"/>
          <w:szCs w:val="24"/>
          <w:lang w:val="en-GB"/>
        </w:rPr>
        <w:t>ad</w:t>
      </w:r>
      <w:r w:rsidRPr="00250FF0">
        <w:rPr>
          <w:rFonts w:ascii="Times New Roman" w:hAnsi="Times New Roman"/>
          <w:sz w:val="24"/>
          <w:szCs w:val="24"/>
          <w:lang w:val="en-GB"/>
        </w:rPr>
        <w:t>s</w:t>
      </w:r>
      <w:r w:rsidR="00F46C56" w:rsidRPr="00250FF0">
        <w:rPr>
          <w:rFonts w:ascii="Times New Roman" w:hAnsi="Times New Roman"/>
          <w:sz w:val="24"/>
          <w:szCs w:val="24"/>
          <w:lang w:val="en-GB"/>
        </w:rPr>
        <w:t>orption-</w:t>
      </w:r>
      <w:r w:rsidRPr="00250FF0">
        <w:rPr>
          <w:rFonts w:ascii="Times New Roman" w:hAnsi="Times New Roman"/>
          <w:sz w:val="24"/>
          <w:szCs w:val="24"/>
          <w:lang w:val="en-GB"/>
        </w:rPr>
        <w:t>desorption isotherms according to the Eq. (</w:t>
      </w:r>
      <w:r w:rsidR="007452F4" w:rsidRPr="00250FF0">
        <w:rPr>
          <w:rFonts w:ascii="Times New Roman" w:hAnsi="Times New Roman"/>
          <w:sz w:val="24"/>
          <w:szCs w:val="24"/>
          <w:lang w:val="en-GB"/>
        </w:rPr>
        <w:t>6</w:t>
      </w:r>
      <w:r w:rsidRPr="00250FF0">
        <w:rPr>
          <w:rFonts w:ascii="Times New Roman" w:hAnsi="Times New Roman"/>
          <w:sz w:val="24"/>
          <w:szCs w:val="24"/>
          <w:lang w:val="en-GB"/>
        </w:rPr>
        <w:t>):</w:t>
      </w:r>
    </w:p>
    <w:p w14:paraId="4C8B56B7" w14:textId="77777777" w:rsidR="00E86A2B" w:rsidRPr="00250FF0" w:rsidRDefault="00E86A2B" w:rsidP="00E86A2B">
      <w:pPr>
        <w:widowControl w:val="0"/>
        <w:tabs>
          <w:tab w:val="center" w:pos="4536"/>
          <w:tab w:val="right" w:pos="9072"/>
        </w:tabs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250FF0">
        <w:rPr>
          <w:rFonts w:ascii="Times New Roman" w:hAnsi="Times New Roman"/>
          <w:sz w:val="24"/>
          <w:szCs w:val="24"/>
          <w:lang w:val="en-GB"/>
        </w:rPr>
        <w:tab/>
      </w:r>
      <w:r w:rsidR="003406B5" w:rsidRPr="00587AC9">
        <w:rPr>
          <w:rFonts w:ascii="Times New Roman" w:hAnsi="Times New Roman"/>
          <w:noProof/>
          <w:position w:val="-46"/>
          <w:sz w:val="24"/>
          <w:szCs w:val="24"/>
          <w:lang w:val="en-GB"/>
        </w:rPr>
        <w:object w:dxaOrig="1100" w:dyaOrig="1040" w14:anchorId="57925331">
          <v:shape id="_x0000_i1033" type="#_x0000_t75" alt="" style="width:54pt;height:51.75pt" o:ole="">
            <v:imagedata r:id="rId23" o:title=""/>
          </v:shape>
          <o:OLEObject Type="Embed" ProgID="Equation.DSMT4" ShapeID="_x0000_i1033" DrawAspect="Content" ObjectID="_1630826822" r:id="rId24"/>
        </w:object>
      </w:r>
      <w:r w:rsidRPr="00250FF0">
        <w:rPr>
          <w:rFonts w:ascii="Times New Roman" w:hAnsi="Times New Roman"/>
          <w:sz w:val="24"/>
          <w:szCs w:val="24"/>
          <w:lang w:val="en-GB"/>
        </w:rPr>
        <w:tab/>
        <w:t>(</w:t>
      </w:r>
      <w:r w:rsidR="007452F4" w:rsidRPr="00250FF0">
        <w:rPr>
          <w:rFonts w:ascii="Times New Roman" w:hAnsi="Times New Roman"/>
          <w:sz w:val="24"/>
          <w:szCs w:val="24"/>
          <w:lang w:val="en-GB"/>
        </w:rPr>
        <w:t>6</w:t>
      </w:r>
      <w:r w:rsidRPr="00250FF0">
        <w:rPr>
          <w:rFonts w:ascii="Times New Roman" w:hAnsi="Times New Roman"/>
          <w:sz w:val="24"/>
          <w:szCs w:val="24"/>
          <w:lang w:val="en-GB"/>
        </w:rPr>
        <w:t>)</w:t>
      </w:r>
    </w:p>
    <w:p w14:paraId="188A7F3A" w14:textId="77777777" w:rsidR="00577422" w:rsidRPr="00250FF0" w:rsidRDefault="004D59AD" w:rsidP="00D4792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250FF0">
        <w:rPr>
          <w:rFonts w:ascii="Times New Roman" w:hAnsi="Times New Roman"/>
          <w:sz w:val="24"/>
          <w:szCs w:val="24"/>
          <w:lang w:val="en-GB"/>
        </w:rPr>
        <w:t>where</w:t>
      </w:r>
      <w:proofErr w:type="gram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50FF0">
        <w:rPr>
          <w:rFonts w:ascii="Times New Roman" w:hAnsi="Times New Roman"/>
          <w:i/>
          <w:sz w:val="24"/>
          <w:szCs w:val="24"/>
          <w:lang w:val="en-GB"/>
        </w:rPr>
        <w:t>1/</w:t>
      </w:r>
      <w:proofErr w:type="spellStart"/>
      <w:r w:rsidRPr="00250FF0">
        <w:rPr>
          <w:rFonts w:ascii="Times New Roman" w:hAnsi="Times New Roman"/>
          <w:i/>
          <w:iCs/>
          <w:sz w:val="24"/>
          <w:szCs w:val="24"/>
          <w:lang w:val="en-GB"/>
        </w:rPr>
        <w:t>n</w:t>
      </w:r>
      <w:r w:rsidRPr="003406B5">
        <w:rPr>
          <w:rFonts w:ascii="Times New Roman" w:hAnsi="Times New Roman"/>
          <w:sz w:val="24"/>
          <w:szCs w:val="24"/>
          <w:vertAlign w:val="subscript"/>
          <w:lang w:val="en-GB"/>
        </w:rPr>
        <w:t>ads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Pr="00250FF0">
        <w:rPr>
          <w:rFonts w:ascii="Times New Roman" w:hAnsi="Times New Roman"/>
          <w:i/>
          <w:sz w:val="24"/>
          <w:szCs w:val="24"/>
          <w:lang w:val="en-GB"/>
        </w:rPr>
        <w:t>1/</w:t>
      </w:r>
      <w:proofErr w:type="spellStart"/>
      <w:r w:rsidRPr="00250FF0">
        <w:rPr>
          <w:rFonts w:ascii="Times New Roman" w:hAnsi="Times New Roman"/>
          <w:i/>
          <w:iCs/>
          <w:sz w:val="24"/>
          <w:szCs w:val="24"/>
          <w:lang w:val="en-GB"/>
        </w:rPr>
        <w:t>n</w:t>
      </w:r>
      <w:r w:rsidRPr="003406B5">
        <w:rPr>
          <w:rFonts w:ascii="Times New Roman" w:hAnsi="Times New Roman"/>
          <w:sz w:val="24"/>
          <w:szCs w:val="24"/>
          <w:vertAlign w:val="subscript"/>
          <w:lang w:val="en-GB"/>
        </w:rPr>
        <w:t>des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are the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Freundlich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slopes obtained for the </w:t>
      </w:r>
      <w:r w:rsidR="0071327A" w:rsidRPr="00250FF0">
        <w:rPr>
          <w:rFonts w:ascii="Times New Roman" w:hAnsi="Times New Roman"/>
          <w:sz w:val="24"/>
          <w:szCs w:val="24"/>
          <w:lang w:val="en-GB"/>
        </w:rPr>
        <w:t>ad</w:t>
      </w:r>
      <w:r w:rsidRPr="00250FF0">
        <w:rPr>
          <w:rFonts w:ascii="Times New Roman" w:hAnsi="Times New Roman"/>
          <w:sz w:val="24"/>
          <w:szCs w:val="24"/>
          <w:lang w:val="en-GB"/>
        </w:rPr>
        <w:t>sorption and desorption</w:t>
      </w:r>
      <w:r w:rsidR="00D47929"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50FF0">
        <w:rPr>
          <w:rFonts w:ascii="Times New Roman" w:hAnsi="Times New Roman"/>
          <w:sz w:val="24"/>
          <w:szCs w:val="24"/>
          <w:lang w:val="en-GB"/>
        </w:rPr>
        <w:t>isotherms, respectively.</w:t>
      </w:r>
    </w:p>
    <w:p w14:paraId="143F9842" w14:textId="77777777" w:rsidR="00887517" w:rsidRPr="00250FF0" w:rsidRDefault="00887517" w:rsidP="001A421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6C0DAB1" w14:textId="77777777" w:rsidR="00501847" w:rsidRPr="00250FF0" w:rsidRDefault="00501847" w:rsidP="00EF041B">
      <w:pPr>
        <w:tabs>
          <w:tab w:val="left" w:pos="3299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250FF0">
        <w:rPr>
          <w:rFonts w:ascii="Times New Roman" w:hAnsi="Times New Roman"/>
          <w:sz w:val="24"/>
          <w:szCs w:val="24"/>
          <w:lang w:val="en-GB"/>
        </w:rPr>
        <w:t>RESULTS AND DISCUSSION</w:t>
      </w:r>
    </w:p>
    <w:p w14:paraId="0F92936B" w14:textId="77777777" w:rsidR="008B3A02" w:rsidRPr="00250FF0" w:rsidRDefault="008B3A02" w:rsidP="00EF041B">
      <w:pPr>
        <w:tabs>
          <w:tab w:val="left" w:pos="3299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052E1E8E" w14:textId="77777777" w:rsidR="00B045C2" w:rsidRPr="00250FF0" w:rsidRDefault="008B3A02" w:rsidP="008B3A0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250FF0">
        <w:rPr>
          <w:rFonts w:ascii="Times New Roman" w:hAnsi="Times New Roman"/>
          <w:i/>
          <w:sz w:val="24"/>
          <w:szCs w:val="24"/>
          <w:lang w:val="en-GB"/>
        </w:rPr>
        <w:t>Ads</w:t>
      </w:r>
      <w:r w:rsidR="006C530A" w:rsidRPr="00250FF0">
        <w:rPr>
          <w:rFonts w:ascii="Times New Roman" w:hAnsi="Times New Roman"/>
          <w:i/>
          <w:sz w:val="24"/>
          <w:szCs w:val="24"/>
          <w:lang w:val="en-GB"/>
        </w:rPr>
        <w:t>orption</w:t>
      </w:r>
      <w:r w:rsidRPr="00250FF0">
        <w:rPr>
          <w:rFonts w:ascii="Times New Roman" w:hAnsi="Times New Roman"/>
          <w:i/>
          <w:sz w:val="24"/>
          <w:szCs w:val="24"/>
          <w:lang w:val="en-GB"/>
        </w:rPr>
        <w:t xml:space="preserve"> studies</w:t>
      </w:r>
    </w:p>
    <w:p w14:paraId="5556E748" w14:textId="77777777" w:rsidR="00B045C2" w:rsidRPr="00250FF0" w:rsidRDefault="00B045C2" w:rsidP="008B3A0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01F389C1" w14:textId="77777777" w:rsidR="00CA3253" w:rsidRPr="00250FF0" w:rsidRDefault="00B045C2" w:rsidP="00B045C2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The adsorption isotherms of clomazone </w:t>
      </w:r>
      <w:r w:rsidR="00861C10" w:rsidRPr="00250FF0">
        <w:rPr>
          <w:rFonts w:ascii="Times New Roman" w:hAnsi="Times New Roman"/>
          <w:bCs/>
          <w:sz w:val="24"/>
          <w:szCs w:val="24"/>
          <w:lang w:val="en-GB"/>
        </w:rPr>
        <w:t>for the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two agricultural soils are presented in Fig. 1, and </w:t>
      </w:r>
      <w:r w:rsidR="00861C10" w:rsidRPr="00250FF0">
        <w:rPr>
          <w:rFonts w:ascii="Times New Roman" w:hAnsi="Times New Roman"/>
          <w:bCs/>
          <w:sz w:val="24"/>
          <w:szCs w:val="24"/>
          <w:lang w:val="en-GB"/>
        </w:rPr>
        <w:t xml:space="preserve">the </w:t>
      </w:r>
      <w:proofErr w:type="spellStart"/>
      <w:r w:rsidRPr="00250FF0">
        <w:rPr>
          <w:rFonts w:ascii="Times New Roman" w:hAnsi="Times New Roman"/>
          <w:bCs/>
          <w:sz w:val="24"/>
          <w:szCs w:val="24"/>
          <w:lang w:val="en-GB"/>
        </w:rPr>
        <w:t>Freundlich</w:t>
      </w:r>
      <w:proofErr w:type="spellEnd"/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parameters obtained by applying Eq. (3) </w:t>
      </w:r>
      <w:r w:rsidR="00861C10" w:rsidRPr="00250FF0">
        <w:rPr>
          <w:rFonts w:ascii="Times New Roman" w:hAnsi="Times New Roman"/>
          <w:bCs/>
          <w:sz w:val="24"/>
          <w:szCs w:val="24"/>
          <w:lang w:val="en-GB"/>
        </w:rPr>
        <w:t>to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experimental data </w:t>
      </w:r>
      <w:r w:rsidR="00861C10" w:rsidRPr="00250FF0">
        <w:rPr>
          <w:rFonts w:ascii="Times New Roman" w:hAnsi="Times New Roman"/>
          <w:bCs/>
          <w:sz w:val="24"/>
          <w:szCs w:val="24"/>
          <w:lang w:val="en-GB"/>
        </w:rPr>
        <w:t>are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presented in Table </w:t>
      </w:r>
      <w:r w:rsidR="00F61EAC" w:rsidRPr="00250FF0">
        <w:rPr>
          <w:rFonts w:ascii="Times New Roman" w:hAnsi="Times New Roman"/>
          <w:bCs/>
          <w:sz w:val="24"/>
          <w:szCs w:val="24"/>
          <w:lang w:val="en-GB"/>
        </w:rPr>
        <w:t>II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. </w:t>
      </w:r>
    </w:p>
    <w:p w14:paraId="76F8675C" w14:textId="7B2E4E59" w:rsidR="00CA3253" w:rsidRPr="00250FF0" w:rsidRDefault="009A0508" w:rsidP="00B045C2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noProof/>
          <w:sz w:val="24"/>
          <w:szCs w:val="24"/>
          <w:lang w:val="sr-Latn-RS" w:eastAsia="sr-Latn-RS"/>
        </w:rPr>
        <w:drawing>
          <wp:inline distT="0" distB="0" distL="0" distR="0" wp14:anchorId="60045863" wp14:editId="51F41731">
            <wp:extent cx="3236976" cy="249936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.t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976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221BF" w14:textId="77777777" w:rsidR="00CA3253" w:rsidRPr="00250FF0" w:rsidRDefault="00CA3253" w:rsidP="00CA32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proofErr w:type="gramStart"/>
      <w:r w:rsidRPr="00250FF0">
        <w:rPr>
          <w:rFonts w:ascii="Times New Roman" w:hAnsi="Times New Roman"/>
          <w:bCs/>
          <w:sz w:val="24"/>
          <w:szCs w:val="24"/>
          <w:lang w:val="en-GB"/>
        </w:rPr>
        <w:t>Fig. 1.</w:t>
      </w:r>
      <w:proofErr w:type="gramEnd"/>
      <w:r w:rsidRPr="00250FF0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Adsorption isotherms of clomazone </w:t>
      </w:r>
      <w:r w:rsidR="005A5881" w:rsidRPr="00250FF0">
        <w:rPr>
          <w:rFonts w:ascii="Times New Roman" w:hAnsi="Times New Roman"/>
          <w:sz w:val="24"/>
          <w:szCs w:val="24"/>
          <w:lang w:val="en-GB"/>
        </w:rPr>
        <w:t>in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two Serbian agricultural soils</w:t>
      </w:r>
    </w:p>
    <w:p w14:paraId="10F56765" w14:textId="77777777" w:rsidR="00CA3253" w:rsidRPr="00250FF0" w:rsidRDefault="00CA3253" w:rsidP="00CA3253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14:paraId="318C3A5A" w14:textId="77777777" w:rsidR="00F61EAC" w:rsidRPr="00250FF0" w:rsidRDefault="00F61EAC" w:rsidP="00F61EAC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proofErr w:type="gramStart"/>
      <w:r w:rsidRPr="00250FF0">
        <w:rPr>
          <w:rFonts w:ascii="Times New Roman" w:hAnsi="Times New Roman"/>
          <w:bCs/>
          <w:sz w:val="24"/>
          <w:szCs w:val="24"/>
          <w:lang w:val="en-GB"/>
        </w:rPr>
        <w:t>TABLE II.</w:t>
      </w:r>
      <w:proofErr w:type="gramEnd"/>
      <w:r w:rsidRPr="00250FF0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bCs/>
          <w:sz w:val="24"/>
          <w:szCs w:val="24"/>
          <w:lang w:val="en-GB"/>
        </w:rPr>
        <w:t>Freundlich</w:t>
      </w:r>
      <w:proofErr w:type="spellEnd"/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parameters and distribution coefficients (</w:t>
      </w:r>
      <w:proofErr w:type="spellStart"/>
      <w:proofErr w:type="gramStart"/>
      <w:r w:rsidRPr="00250FF0">
        <w:rPr>
          <w:rFonts w:ascii="Times New Roman" w:hAnsi="Times New Roman"/>
          <w:bCs/>
          <w:i/>
          <w:sz w:val="24"/>
          <w:szCs w:val="24"/>
          <w:lang w:val="en-GB"/>
        </w:rPr>
        <w:t>K</w:t>
      </w:r>
      <w:r w:rsidRPr="003406B5">
        <w:rPr>
          <w:rFonts w:ascii="Times New Roman" w:hAnsi="Times New Roman"/>
          <w:bCs/>
          <w:sz w:val="24"/>
          <w:szCs w:val="24"/>
          <w:vertAlign w:val="subscript"/>
          <w:lang w:val="en-GB"/>
        </w:rPr>
        <w:t>d</w:t>
      </w:r>
      <w:proofErr w:type="spellEnd"/>
      <w:proofErr w:type="gramEnd"/>
      <w:r w:rsidR="00FF33D2" w:rsidRPr="003406B5">
        <w:rPr>
          <w:rFonts w:ascii="Times New Roman" w:hAnsi="Times New Roman"/>
          <w:bCs/>
          <w:sz w:val="24"/>
          <w:szCs w:val="24"/>
          <w:vertAlign w:val="subscript"/>
          <w:lang w:val="en-GB"/>
        </w:rPr>
        <w:t xml:space="preserve"> (ads)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and </w:t>
      </w:r>
      <w:r w:rsidRPr="00250FF0">
        <w:rPr>
          <w:rFonts w:ascii="Times New Roman" w:hAnsi="Times New Roman"/>
          <w:bCs/>
          <w:i/>
          <w:sz w:val="24"/>
          <w:szCs w:val="24"/>
          <w:lang w:val="en-GB"/>
        </w:rPr>
        <w:t>K</w:t>
      </w:r>
      <w:r w:rsidRPr="003406B5">
        <w:rPr>
          <w:rFonts w:ascii="Times New Roman" w:hAnsi="Times New Roman"/>
          <w:bCs/>
          <w:sz w:val="24"/>
          <w:szCs w:val="24"/>
          <w:vertAlign w:val="subscript"/>
          <w:lang w:val="en-GB"/>
        </w:rPr>
        <w:t>OC</w:t>
      </w:r>
      <w:r w:rsidR="00FF33D2" w:rsidRPr="003406B5">
        <w:rPr>
          <w:rFonts w:ascii="Times New Roman" w:hAnsi="Times New Roman"/>
          <w:bCs/>
          <w:sz w:val="24"/>
          <w:szCs w:val="24"/>
          <w:vertAlign w:val="subscript"/>
          <w:lang w:val="en-GB"/>
        </w:rPr>
        <w:t xml:space="preserve"> (ads)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) for clomazone sorption on </w:t>
      </w:r>
      <w:r w:rsidR="005A5881" w:rsidRPr="00250FF0">
        <w:rPr>
          <w:rFonts w:ascii="Times New Roman" w:hAnsi="Times New Roman"/>
          <w:bCs/>
          <w:sz w:val="24"/>
          <w:szCs w:val="24"/>
          <w:lang w:val="en-GB"/>
        </w:rPr>
        <w:t xml:space="preserve">two 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agricultural soils  </w:t>
      </w:r>
    </w:p>
    <w:p w14:paraId="6BA74C0F" w14:textId="77777777" w:rsidR="008D6886" w:rsidRPr="00250FF0" w:rsidRDefault="008D6886" w:rsidP="00CA3253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tbl>
      <w:tblPr>
        <w:tblStyle w:val="TableGrid"/>
        <w:tblW w:w="680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2155"/>
        <w:gridCol w:w="2155"/>
      </w:tblGrid>
      <w:tr w:rsidR="00250FF0" w:rsidRPr="00250FF0" w14:paraId="69C700F7" w14:textId="77777777" w:rsidTr="00D6629B">
        <w:tc>
          <w:tcPr>
            <w:tcW w:w="2495" w:type="dxa"/>
            <w:tcBorders>
              <w:bottom w:val="nil"/>
            </w:tcBorders>
            <w:vAlign w:val="center"/>
          </w:tcPr>
          <w:p w14:paraId="0C1DD297" w14:textId="77777777" w:rsidR="00E34663" w:rsidRPr="00250FF0" w:rsidRDefault="00E34663" w:rsidP="00E34663">
            <w:pPr>
              <w:widowControl w:val="0"/>
              <w:spacing w:after="0" w:line="360" w:lineRule="auto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vAlign w:val="center"/>
          </w:tcPr>
          <w:p w14:paraId="6F249723" w14:textId="77777777" w:rsidR="00E34663" w:rsidRPr="00250FF0" w:rsidRDefault="00E34663" w:rsidP="00E34663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250FF0">
              <w:rPr>
                <w:rFonts w:ascii="Times New Roman" w:hAnsi="Times New Roman"/>
                <w:bCs/>
                <w:lang w:val="en-GB"/>
              </w:rPr>
              <w:t>Soil</w:t>
            </w:r>
          </w:p>
        </w:tc>
      </w:tr>
      <w:tr w:rsidR="00250FF0" w:rsidRPr="00250FF0" w14:paraId="398E7F15" w14:textId="77777777" w:rsidTr="00D6629B">
        <w:tc>
          <w:tcPr>
            <w:tcW w:w="2495" w:type="dxa"/>
            <w:tcBorders>
              <w:top w:val="nil"/>
              <w:bottom w:val="single" w:sz="4" w:space="0" w:color="auto"/>
            </w:tcBorders>
            <w:vAlign w:val="center"/>
          </w:tcPr>
          <w:p w14:paraId="127CE943" w14:textId="77777777" w:rsidR="00E34663" w:rsidRPr="00250FF0" w:rsidRDefault="00E34663" w:rsidP="00E34663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D6789" w14:textId="77777777" w:rsidR="00E34663" w:rsidRPr="00250FF0" w:rsidRDefault="00E34663" w:rsidP="00E34663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250FF0">
              <w:rPr>
                <w:rFonts w:ascii="Times New Roman" w:hAnsi="Times New Roman"/>
                <w:bCs/>
                <w:lang w:val="en-GB"/>
              </w:rPr>
              <w:t>Regosol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9D573" w14:textId="77777777" w:rsidR="00E34663" w:rsidRPr="00250FF0" w:rsidRDefault="00E34663" w:rsidP="00E34663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250FF0">
              <w:rPr>
                <w:rFonts w:ascii="Times New Roman" w:hAnsi="Times New Roman"/>
                <w:bCs/>
                <w:lang w:val="en-GB"/>
              </w:rPr>
              <w:t>Chernozem</w:t>
            </w:r>
          </w:p>
        </w:tc>
      </w:tr>
      <w:tr w:rsidR="00250FF0" w:rsidRPr="00250FF0" w14:paraId="4F1BC876" w14:textId="77777777" w:rsidTr="00D6629B">
        <w:tc>
          <w:tcPr>
            <w:tcW w:w="2495" w:type="dxa"/>
            <w:tcBorders>
              <w:bottom w:val="nil"/>
            </w:tcBorders>
            <w:vAlign w:val="center"/>
          </w:tcPr>
          <w:p w14:paraId="2AAE2E75" w14:textId="77777777" w:rsidR="00E34663" w:rsidRPr="00250FF0" w:rsidRDefault="00E34663" w:rsidP="00D6629B">
            <w:pPr>
              <w:widowControl w:val="0"/>
              <w:spacing w:after="0" w:line="360" w:lineRule="auto"/>
              <w:rPr>
                <w:rFonts w:ascii="Times New Roman" w:hAnsi="Times New Roman"/>
                <w:bCs/>
                <w:lang w:val="en-GB"/>
              </w:rPr>
            </w:pPr>
            <w:proofErr w:type="spellStart"/>
            <w:r w:rsidRPr="00250FF0">
              <w:rPr>
                <w:rFonts w:ascii="Times New Roman" w:hAnsi="Times New Roman"/>
                <w:bCs/>
                <w:i/>
                <w:lang w:val="en-GB"/>
              </w:rPr>
              <w:t>K</w:t>
            </w:r>
            <w:r w:rsidRPr="003406B5">
              <w:rPr>
                <w:rFonts w:ascii="Times New Roman" w:hAnsi="Times New Roman"/>
                <w:bCs/>
                <w:vertAlign w:val="subscript"/>
                <w:lang w:val="en-GB"/>
              </w:rPr>
              <w:t>f</w:t>
            </w:r>
            <w:proofErr w:type="spellEnd"/>
            <w:r w:rsidRPr="003406B5">
              <w:rPr>
                <w:rFonts w:ascii="Times New Roman" w:hAnsi="Times New Roman"/>
                <w:bCs/>
                <w:vertAlign w:val="subscript"/>
                <w:lang w:val="en-GB"/>
              </w:rPr>
              <w:t xml:space="preserve"> (ads)</w:t>
            </w:r>
            <w:r w:rsidRPr="00250FF0">
              <w:rPr>
                <w:rFonts w:ascii="Times New Roman" w:hAnsi="Times New Roman"/>
                <w:bCs/>
                <w:lang w:val="en-GB"/>
              </w:rPr>
              <w:t xml:space="preserve"> / </w:t>
            </w:r>
            <w:r w:rsidR="00D6629B" w:rsidRPr="00250FF0">
              <w:rPr>
                <w:rFonts w:ascii="Times New Roman" w:hAnsi="Times New Roman" w:cs="Times New Roman"/>
                <w:bCs/>
                <w:lang w:val="en-GB"/>
              </w:rPr>
              <w:t>m</w:t>
            </w:r>
            <w:r w:rsidRPr="00250FF0">
              <w:rPr>
                <w:rFonts w:ascii="Times New Roman" w:hAnsi="Times New Roman" w:cs="Times New Roman"/>
                <w:bCs/>
                <w:lang w:val="en-GB"/>
              </w:rPr>
              <w:t>g</w:t>
            </w:r>
            <w:r w:rsidRPr="00250FF0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(n-1)/n</w:t>
            </w:r>
            <w:r w:rsidRPr="00250FF0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r w:rsidR="00D6629B" w:rsidRPr="00250FF0">
              <w:rPr>
                <w:rFonts w:ascii="Times New Roman" w:hAnsi="Times New Roman" w:cs="Times New Roman"/>
                <w:bCs/>
                <w:lang w:val="en-GB"/>
              </w:rPr>
              <w:t>d</w:t>
            </w:r>
            <w:r w:rsidRPr="00250FF0">
              <w:rPr>
                <w:rFonts w:ascii="Times New Roman" w:hAnsi="Times New Roman" w:cs="Times New Roman"/>
                <w:bCs/>
                <w:lang w:val="en-GB"/>
              </w:rPr>
              <w:t>m</w:t>
            </w:r>
            <w:r w:rsidRPr="00250FF0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3/n</w:t>
            </w:r>
            <w:r w:rsidRPr="00250FF0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r w:rsidR="00D6629B" w:rsidRPr="00250FF0">
              <w:rPr>
                <w:rFonts w:ascii="Times New Roman" w:hAnsi="Times New Roman" w:cs="Times New Roman"/>
                <w:bCs/>
                <w:lang w:val="en-GB"/>
              </w:rPr>
              <w:t>k</w:t>
            </w:r>
            <w:r w:rsidRPr="00250FF0">
              <w:rPr>
                <w:rFonts w:ascii="Times New Roman" w:hAnsi="Times New Roman" w:cs="Times New Roman"/>
                <w:bCs/>
                <w:lang w:val="en-GB"/>
              </w:rPr>
              <w:t>g</w:t>
            </w:r>
            <w:r w:rsidRPr="00250FF0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-1</w:t>
            </w: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14:paraId="77391292" w14:textId="77777777" w:rsidR="00E34663" w:rsidRPr="00250FF0" w:rsidRDefault="00E34663" w:rsidP="00E34663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250FF0">
              <w:rPr>
                <w:rFonts w:ascii="Times New Roman" w:hAnsi="Times New Roman"/>
                <w:bCs/>
                <w:lang w:val="en-GB"/>
              </w:rPr>
              <w:t>2.21 (</w:t>
            </w:r>
            <w:r w:rsidRPr="00250FF0">
              <w:rPr>
                <w:rFonts w:ascii="Times New Roman" w:hAnsi="Times New Roman" w:cs="Times New Roman"/>
                <w:bCs/>
                <w:lang w:val="en-GB"/>
              </w:rPr>
              <w:t>± 0.01</w:t>
            </w:r>
            <w:r w:rsidRPr="00250FF0">
              <w:rPr>
                <w:rFonts w:ascii="Times New Roman" w:hAnsi="Times New Roman"/>
                <w:bCs/>
                <w:lang w:val="en-GB"/>
              </w:rPr>
              <w:t>)</w:t>
            </w:r>
            <w:r w:rsidRPr="00250FF0">
              <w:rPr>
                <w:rFonts w:ascii="Times New Roman" w:hAnsi="Times New Roman"/>
                <w:bCs/>
                <w:vertAlign w:val="superscript"/>
                <w:lang w:val="en-GB"/>
              </w:rPr>
              <w:t>a</w:t>
            </w: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14:paraId="638A6399" w14:textId="77777777" w:rsidR="00E34663" w:rsidRPr="00250FF0" w:rsidRDefault="00E34663" w:rsidP="00E34663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250FF0">
              <w:rPr>
                <w:rFonts w:ascii="Times New Roman" w:hAnsi="Times New Roman"/>
                <w:bCs/>
                <w:lang w:val="en-GB"/>
              </w:rPr>
              <w:t>3.43 (</w:t>
            </w:r>
            <w:r w:rsidRPr="00250FF0">
              <w:rPr>
                <w:rFonts w:ascii="Times New Roman" w:hAnsi="Times New Roman" w:cs="Times New Roman"/>
                <w:bCs/>
                <w:lang w:val="en-GB"/>
              </w:rPr>
              <w:t>± 0.01</w:t>
            </w:r>
            <w:r w:rsidRPr="00250FF0">
              <w:rPr>
                <w:rFonts w:ascii="Times New Roman" w:hAnsi="Times New Roman"/>
                <w:bCs/>
                <w:lang w:val="en-GB"/>
              </w:rPr>
              <w:t>)</w:t>
            </w:r>
          </w:p>
        </w:tc>
      </w:tr>
      <w:tr w:rsidR="00250FF0" w:rsidRPr="00250FF0" w14:paraId="7B4BD42F" w14:textId="77777777" w:rsidTr="00D6629B">
        <w:tc>
          <w:tcPr>
            <w:tcW w:w="2495" w:type="dxa"/>
            <w:tcBorders>
              <w:top w:val="nil"/>
              <w:bottom w:val="nil"/>
            </w:tcBorders>
            <w:vAlign w:val="center"/>
          </w:tcPr>
          <w:p w14:paraId="77E63593" w14:textId="77777777" w:rsidR="00E34663" w:rsidRPr="00250FF0" w:rsidRDefault="00E34663" w:rsidP="00E34663">
            <w:pPr>
              <w:widowControl w:val="0"/>
              <w:spacing w:after="0" w:line="360" w:lineRule="auto"/>
              <w:rPr>
                <w:rFonts w:ascii="Times New Roman" w:hAnsi="Times New Roman"/>
                <w:bCs/>
                <w:lang w:val="en-GB"/>
              </w:rPr>
            </w:pPr>
            <w:r w:rsidRPr="00250FF0">
              <w:rPr>
                <w:rFonts w:ascii="Times New Roman" w:hAnsi="Times New Roman"/>
                <w:bCs/>
                <w:i/>
                <w:lang w:val="en-GB"/>
              </w:rPr>
              <w:t>1/n</w:t>
            </w:r>
            <w:r w:rsidRPr="003406B5">
              <w:rPr>
                <w:rFonts w:ascii="Times New Roman" w:hAnsi="Times New Roman"/>
                <w:bCs/>
                <w:vertAlign w:val="subscript"/>
                <w:lang w:val="en-GB"/>
              </w:rPr>
              <w:t>(ads)</w:t>
            </w:r>
          </w:p>
        </w:tc>
        <w:tc>
          <w:tcPr>
            <w:tcW w:w="2155" w:type="dxa"/>
            <w:tcBorders>
              <w:top w:val="nil"/>
              <w:bottom w:val="nil"/>
            </w:tcBorders>
            <w:vAlign w:val="center"/>
          </w:tcPr>
          <w:p w14:paraId="55A23905" w14:textId="77777777" w:rsidR="00E34663" w:rsidRPr="00250FF0" w:rsidRDefault="00E34663" w:rsidP="00E34663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250FF0">
              <w:rPr>
                <w:rFonts w:ascii="Times New Roman" w:hAnsi="Times New Roman"/>
                <w:bCs/>
                <w:lang w:val="en-GB"/>
              </w:rPr>
              <w:t>1.00 (</w:t>
            </w:r>
            <w:r w:rsidRPr="00250FF0">
              <w:rPr>
                <w:rFonts w:ascii="Times New Roman" w:hAnsi="Times New Roman" w:cs="Times New Roman"/>
                <w:bCs/>
                <w:lang w:val="en-GB"/>
              </w:rPr>
              <w:t>± 0.02</w:t>
            </w:r>
            <w:r w:rsidRPr="00250FF0">
              <w:rPr>
                <w:rFonts w:ascii="Times New Roman" w:hAnsi="Times New Roman"/>
                <w:bCs/>
                <w:lang w:val="en-GB"/>
              </w:rPr>
              <w:t>)</w:t>
            </w:r>
          </w:p>
        </w:tc>
        <w:tc>
          <w:tcPr>
            <w:tcW w:w="2155" w:type="dxa"/>
            <w:tcBorders>
              <w:top w:val="nil"/>
              <w:bottom w:val="nil"/>
            </w:tcBorders>
            <w:vAlign w:val="center"/>
          </w:tcPr>
          <w:p w14:paraId="4B724EF4" w14:textId="77777777" w:rsidR="00E34663" w:rsidRPr="00250FF0" w:rsidRDefault="00E34663" w:rsidP="00E34663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250FF0">
              <w:rPr>
                <w:rFonts w:ascii="Times New Roman" w:hAnsi="Times New Roman"/>
                <w:bCs/>
                <w:lang w:val="en-GB"/>
              </w:rPr>
              <w:t>1.07 (</w:t>
            </w:r>
            <w:r w:rsidRPr="00250FF0">
              <w:rPr>
                <w:rFonts w:ascii="Times New Roman" w:hAnsi="Times New Roman" w:cs="Times New Roman"/>
                <w:bCs/>
                <w:lang w:val="en-GB"/>
              </w:rPr>
              <w:t>± 0.02</w:t>
            </w:r>
            <w:r w:rsidRPr="00250FF0">
              <w:rPr>
                <w:rFonts w:ascii="Times New Roman" w:hAnsi="Times New Roman"/>
                <w:bCs/>
                <w:lang w:val="en-GB"/>
              </w:rPr>
              <w:t>)</w:t>
            </w:r>
          </w:p>
        </w:tc>
      </w:tr>
      <w:tr w:rsidR="00250FF0" w:rsidRPr="00250FF0" w14:paraId="56019C0D" w14:textId="77777777" w:rsidTr="00D6629B">
        <w:tc>
          <w:tcPr>
            <w:tcW w:w="2495" w:type="dxa"/>
            <w:tcBorders>
              <w:top w:val="nil"/>
              <w:bottom w:val="nil"/>
            </w:tcBorders>
            <w:vAlign w:val="center"/>
          </w:tcPr>
          <w:p w14:paraId="2717FE58" w14:textId="77777777" w:rsidR="00E34663" w:rsidRPr="00250FF0" w:rsidRDefault="00E34663" w:rsidP="00E34663">
            <w:pPr>
              <w:widowControl w:val="0"/>
              <w:spacing w:after="0" w:line="360" w:lineRule="auto"/>
              <w:rPr>
                <w:rFonts w:ascii="Times New Roman" w:hAnsi="Times New Roman"/>
                <w:bCs/>
                <w:lang w:val="en-GB"/>
              </w:rPr>
            </w:pPr>
            <w:r w:rsidRPr="00250FF0">
              <w:rPr>
                <w:rFonts w:ascii="Times New Roman" w:hAnsi="Times New Roman"/>
                <w:bCs/>
                <w:i/>
                <w:lang w:val="en-GB"/>
              </w:rPr>
              <w:t>r</w:t>
            </w:r>
            <w:r w:rsidRPr="00250FF0">
              <w:rPr>
                <w:rFonts w:ascii="Times New Roman" w:hAnsi="Times New Roman"/>
                <w:bCs/>
                <w:i/>
                <w:vertAlign w:val="superscript"/>
                <w:lang w:val="en-GB"/>
              </w:rPr>
              <w:t>2</w:t>
            </w:r>
          </w:p>
        </w:tc>
        <w:tc>
          <w:tcPr>
            <w:tcW w:w="2155" w:type="dxa"/>
            <w:tcBorders>
              <w:top w:val="nil"/>
              <w:bottom w:val="nil"/>
            </w:tcBorders>
            <w:vAlign w:val="center"/>
          </w:tcPr>
          <w:p w14:paraId="5E8545C4" w14:textId="77777777" w:rsidR="00E34663" w:rsidRPr="00250FF0" w:rsidRDefault="00E34663" w:rsidP="00E34663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250FF0">
              <w:rPr>
                <w:rFonts w:ascii="Times New Roman" w:hAnsi="Times New Roman"/>
                <w:bCs/>
                <w:lang w:val="en-GB"/>
              </w:rPr>
              <w:t>0.997</w:t>
            </w:r>
          </w:p>
        </w:tc>
        <w:tc>
          <w:tcPr>
            <w:tcW w:w="2155" w:type="dxa"/>
            <w:tcBorders>
              <w:top w:val="nil"/>
              <w:bottom w:val="nil"/>
            </w:tcBorders>
            <w:vAlign w:val="center"/>
          </w:tcPr>
          <w:p w14:paraId="39D25B34" w14:textId="77777777" w:rsidR="00E34663" w:rsidRPr="00250FF0" w:rsidRDefault="00E34663" w:rsidP="00E34663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250FF0">
              <w:rPr>
                <w:rFonts w:ascii="Times New Roman" w:hAnsi="Times New Roman"/>
                <w:bCs/>
                <w:lang w:val="en-GB"/>
              </w:rPr>
              <w:t>0.998</w:t>
            </w:r>
          </w:p>
        </w:tc>
      </w:tr>
      <w:tr w:rsidR="00250FF0" w:rsidRPr="00250FF0" w14:paraId="355E6EC4" w14:textId="77777777" w:rsidTr="00D6629B">
        <w:tc>
          <w:tcPr>
            <w:tcW w:w="2495" w:type="dxa"/>
            <w:tcBorders>
              <w:top w:val="nil"/>
              <w:bottom w:val="nil"/>
            </w:tcBorders>
            <w:vAlign w:val="center"/>
          </w:tcPr>
          <w:p w14:paraId="16CC877A" w14:textId="77777777" w:rsidR="00E34663" w:rsidRPr="00250FF0" w:rsidRDefault="00E34663" w:rsidP="00394593">
            <w:pPr>
              <w:widowControl w:val="0"/>
              <w:spacing w:after="0" w:line="360" w:lineRule="auto"/>
              <w:rPr>
                <w:rFonts w:ascii="Times New Roman" w:hAnsi="Times New Roman"/>
                <w:bCs/>
                <w:lang w:val="en-GB"/>
              </w:rPr>
            </w:pPr>
            <w:proofErr w:type="spellStart"/>
            <w:r w:rsidRPr="00250FF0">
              <w:rPr>
                <w:rFonts w:ascii="Times New Roman" w:hAnsi="Times New Roman"/>
                <w:bCs/>
                <w:i/>
                <w:lang w:val="en-GB"/>
              </w:rPr>
              <w:t>K</w:t>
            </w:r>
            <w:r w:rsidRPr="003406B5">
              <w:rPr>
                <w:rFonts w:ascii="Times New Roman" w:hAnsi="Times New Roman"/>
                <w:bCs/>
                <w:vertAlign w:val="subscript"/>
                <w:lang w:val="en-GB"/>
              </w:rPr>
              <w:t>d</w:t>
            </w:r>
            <w:proofErr w:type="spellEnd"/>
            <w:r w:rsidRPr="003406B5">
              <w:rPr>
                <w:rFonts w:ascii="Times New Roman" w:hAnsi="Times New Roman"/>
                <w:bCs/>
                <w:vertAlign w:val="subscript"/>
                <w:lang w:val="en-GB"/>
              </w:rPr>
              <w:t xml:space="preserve"> (ads)</w:t>
            </w:r>
            <w:r w:rsidRPr="00250FF0">
              <w:rPr>
                <w:rFonts w:ascii="Times New Roman" w:hAnsi="Times New Roman"/>
                <w:bCs/>
                <w:lang w:val="en-GB"/>
              </w:rPr>
              <w:t xml:space="preserve"> / </w:t>
            </w:r>
            <w:r w:rsidR="00394593" w:rsidRPr="00250FF0">
              <w:rPr>
                <w:rFonts w:ascii="Times New Roman" w:hAnsi="Times New Roman"/>
                <w:bCs/>
                <w:lang w:val="en-GB"/>
              </w:rPr>
              <w:t>d</w:t>
            </w:r>
            <w:r w:rsidRPr="00250FF0">
              <w:rPr>
                <w:rFonts w:ascii="Times New Roman" w:hAnsi="Times New Roman"/>
                <w:bCs/>
                <w:lang w:val="en-GB"/>
              </w:rPr>
              <w:t>m</w:t>
            </w:r>
            <w:r w:rsidRPr="00250FF0">
              <w:rPr>
                <w:rFonts w:ascii="Times New Roman" w:hAnsi="Times New Roman"/>
                <w:bCs/>
                <w:vertAlign w:val="superscript"/>
                <w:lang w:val="en-GB"/>
              </w:rPr>
              <w:t>3</w:t>
            </w:r>
            <w:r w:rsidRPr="00250FF0">
              <w:rPr>
                <w:rFonts w:ascii="Times New Roman" w:hAnsi="Times New Roman"/>
                <w:bCs/>
                <w:lang w:val="en-GB"/>
              </w:rPr>
              <w:t xml:space="preserve"> </w:t>
            </w:r>
            <w:r w:rsidR="00394593" w:rsidRPr="00250FF0">
              <w:rPr>
                <w:rFonts w:ascii="Times New Roman" w:hAnsi="Times New Roman"/>
                <w:bCs/>
                <w:lang w:val="en-GB"/>
              </w:rPr>
              <w:t>k</w:t>
            </w:r>
            <w:r w:rsidRPr="00250FF0">
              <w:rPr>
                <w:rFonts w:ascii="Times New Roman" w:hAnsi="Times New Roman"/>
                <w:bCs/>
                <w:lang w:val="en-GB"/>
              </w:rPr>
              <w:t>g</w:t>
            </w:r>
            <w:r w:rsidRPr="00250FF0">
              <w:rPr>
                <w:rFonts w:ascii="Times New Roman" w:hAnsi="Times New Roman"/>
                <w:bCs/>
                <w:vertAlign w:val="superscript"/>
                <w:lang w:val="en-GB"/>
              </w:rPr>
              <w:t>-1</w:t>
            </w:r>
          </w:p>
        </w:tc>
        <w:tc>
          <w:tcPr>
            <w:tcW w:w="2155" w:type="dxa"/>
            <w:tcBorders>
              <w:top w:val="nil"/>
              <w:bottom w:val="nil"/>
            </w:tcBorders>
            <w:vAlign w:val="center"/>
          </w:tcPr>
          <w:p w14:paraId="3F760440" w14:textId="77777777" w:rsidR="00E34663" w:rsidRPr="00250FF0" w:rsidRDefault="00E34663" w:rsidP="00E34663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250FF0">
              <w:rPr>
                <w:rFonts w:ascii="Times New Roman" w:hAnsi="Times New Roman"/>
                <w:bCs/>
                <w:lang w:val="en-GB"/>
              </w:rPr>
              <w:t>2.14 (</w:t>
            </w:r>
            <w:r w:rsidRPr="00250FF0">
              <w:rPr>
                <w:rFonts w:ascii="Times New Roman" w:hAnsi="Times New Roman" w:cs="Times New Roman"/>
                <w:bCs/>
                <w:lang w:val="en-GB"/>
              </w:rPr>
              <w:t xml:space="preserve">± </w:t>
            </w:r>
            <w:r w:rsidRPr="00250FF0">
              <w:rPr>
                <w:rFonts w:ascii="Times New Roman" w:hAnsi="Times New Roman"/>
                <w:bCs/>
                <w:lang w:val="en-GB"/>
              </w:rPr>
              <w:t>0.05)</w:t>
            </w:r>
          </w:p>
        </w:tc>
        <w:tc>
          <w:tcPr>
            <w:tcW w:w="2155" w:type="dxa"/>
            <w:tcBorders>
              <w:top w:val="nil"/>
              <w:bottom w:val="nil"/>
            </w:tcBorders>
            <w:vAlign w:val="center"/>
          </w:tcPr>
          <w:p w14:paraId="2D8DD62E" w14:textId="77777777" w:rsidR="00E34663" w:rsidRPr="00250FF0" w:rsidRDefault="00E34663" w:rsidP="00E34663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250FF0">
              <w:rPr>
                <w:rFonts w:ascii="Times New Roman" w:hAnsi="Times New Roman"/>
                <w:bCs/>
                <w:lang w:val="en-GB"/>
              </w:rPr>
              <w:t>3.83 (</w:t>
            </w:r>
            <w:r w:rsidRPr="00250FF0">
              <w:rPr>
                <w:rFonts w:ascii="Times New Roman" w:hAnsi="Times New Roman" w:cs="Times New Roman"/>
                <w:bCs/>
                <w:lang w:val="en-GB"/>
              </w:rPr>
              <w:t>± 0.06</w:t>
            </w:r>
            <w:r w:rsidRPr="00250FF0">
              <w:rPr>
                <w:rFonts w:ascii="Times New Roman" w:hAnsi="Times New Roman"/>
                <w:bCs/>
                <w:lang w:val="en-GB"/>
              </w:rPr>
              <w:t>)</w:t>
            </w:r>
          </w:p>
        </w:tc>
      </w:tr>
      <w:tr w:rsidR="00250FF0" w:rsidRPr="00250FF0" w14:paraId="031A03EC" w14:textId="77777777" w:rsidTr="00D6629B">
        <w:tc>
          <w:tcPr>
            <w:tcW w:w="2495" w:type="dxa"/>
            <w:tcBorders>
              <w:top w:val="nil"/>
              <w:bottom w:val="nil"/>
            </w:tcBorders>
            <w:vAlign w:val="center"/>
          </w:tcPr>
          <w:p w14:paraId="02CC16B2" w14:textId="77777777" w:rsidR="00E34663" w:rsidRPr="00250FF0" w:rsidRDefault="00E34663" w:rsidP="00E34663">
            <w:pPr>
              <w:widowControl w:val="0"/>
              <w:spacing w:after="0" w:line="360" w:lineRule="auto"/>
              <w:rPr>
                <w:rFonts w:ascii="Times New Roman" w:hAnsi="Times New Roman"/>
                <w:bCs/>
                <w:lang w:val="en-GB"/>
              </w:rPr>
            </w:pPr>
            <w:r w:rsidRPr="00250FF0">
              <w:rPr>
                <w:rFonts w:ascii="Times New Roman" w:hAnsi="Times New Roman"/>
                <w:bCs/>
                <w:i/>
                <w:lang w:val="en-GB"/>
              </w:rPr>
              <w:t>r</w:t>
            </w:r>
            <w:r w:rsidRPr="00250FF0">
              <w:rPr>
                <w:rFonts w:ascii="Times New Roman" w:hAnsi="Times New Roman"/>
                <w:bCs/>
                <w:i/>
                <w:vertAlign w:val="superscript"/>
                <w:lang w:val="en-GB"/>
              </w:rPr>
              <w:t>2</w:t>
            </w:r>
          </w:p>
        </w:tc>
        <w:tc>
          <w:tcPr>
            <w:tcW w:w="2155" w:type="dxa"/>
            <w:tcBorders>
              <w:top w:val="nil"/>
              <w:bottom w:val="nil"/>
            </w:tcBorders>
            <w:vAlign w:val="center"/>
          </w:tcPr>
          <w:p w14:paraId="6A8F54B2" w14:textId="77777777" w:rsidR="00E34663" w:rsidRPr="00250FF0" w:rsidRDefault="00E34663" w:rsidP="00E34663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250FF0">
              <w:rPr>
                <w:rFonts w:ascii="Times New Roman" w:hAnsi="Times New Roman"/>
                <w:bCs/>
                <w:lang w:val="en-GB"/>
              </w:rPr>
              <w:t>0.991</w:t>
            </w:r>
          </w:p>
        </w:tc>
        <w:tc>
          <w:tcPr>
            <w:tcW w:w="2155" w:type="dxa"/>
            <w:tcBorders>
              <w:top w:val="nil"/>
              <w:bottom w:val="nil"/>
            </w:tcBorders>
            <w:vAlign w:val="center"/>
          </w:tcPr>
          <w:p w14:paraId="17B12D0D" w14:textId="77777777" w:rsidR="00E34663" w:rsidRPr="00250FF0" w:rsidRDefault="00E34663" w:rsidP="00E34663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250FF0">
              <w:rPr>
                <w:rFonts w:ascii="Times New Roman" w:hAnsi="Times New Roman"/>
                <w:bCs/>
                <w:lang w:val="en-GB"/>
              </w:rPr>
              <w:t>0.995</w:t>
            </w:r>
          </w:p>
        </w:tc>
      </w:tr>
      <w:tr w:rsidR="00250FF0" w:rsidRPr="00250FF0" w14:paraId="0B22A4E2" w14:textId="77777777" w:rsidTr="00D6629B">
        <w:tc>
          <w:tcPr>
            <w:tcW w:w="2495" w:type="dxa"/>
            <w:tcBorders>
              <w:top w:val="nil"/>
            </w:tcBorders>
            <w:vAlign w:val="center"/>
          </w:tcPr>
          <w:p w14:paraId="1815310E" w14:textId="77777777" w:rsidR="00E34663" w:rsidRPr="00250FF0" w:rsidRDefault="00E34663" w:rsidP="00E34663">
            <w:pPr>
              <w:widowControl w:val="0"/>
              <w:spacing w:after="0" w:line="360" w:lineRule="auto"/>
              <w:rPr>
                <w:rFonts w:ascii="Times New Roman" w:hAnsi="Times New Roman"/>
                <w:bCs/>
                <w:lang w:val="en-GB"/>
              </w:rPr>
            </w:pPr>
            <w:r w:rsidRPr="00250FF0">
              <w:rPr>
                <w:rFonts w:ascii="Times New Roman" w:hAnsi="Times New Roman"/>
                <w:bCs/>
                <w:i/>
                <w:lang w:val="en-GB"/>
              </w:rPr>
              <w:t>K</w:t>
            </w:r>
            <w:r w:rsidRPr="003406B5">
              <w:rPr>
                <w:rFonts w:ascii="Times New Roman" w:hAnsi="Times New Roman"/>
                <w:bCs/>
                <w:vertAlign w:val="subscript"/>
                <w:lang w:val="en-GB"/>
              </w:rPr>
              <w:t>OC</w:t>
            </w:r>
            <w:r w:rsidR="00521C32" w:rsidRPr="003406B5">
              <w:rPr>
                <w:rFonts w:ascii="Times New Roman" w:hAnsi="Times New Roman"/>
                <w:bCs/>
                <w:vertAlign w:val="subscript"/>
                <w:lang w:val="en-GB"/>
              </w:rPr>
              <w:t xml:space="preserve"> (ads)</w:t>
            </w:r>
            <w:r w:rsidRPr="00250FF0">
              <w:rPr>
                <w:rFonts w:ascii="Times New Roman" w:hAnsi="Times New Roman"/>
                <w:bCs/>
                <w:i/>
                <w:lang w:val="en-GB"/>
              </w:rPr>
              <w:t xml:space="preserve"> </w:t>
            </w:r>
            <w:r w:rsidR="00394593" w:rsidRPr="00250FF0">
              <w:rPr>
                <w:rFonts w:ascii="Times New Roman" w:hAnsi="Times New Roman"/>
                <w:bCs/>
                <w:lang w:val="en-GB"/>
              </w:rPr>
              <w:t>/ d</w:t>
            </w:r>
            <w:r w:rsidRPr="00250FF0">
              <w:rPr>
                <w:rFonts w:ascii="Times New Roman" w:hAnsi="Times New Roman"/>
                <w:bCs/>
                <w:lang w:val="en-GB"/>
              </w:rPr>
              <w:t>m</w:t>
            </w:r>
            <w:r w:rsidRPr="00250FF0">
              <w:rPr>
                <w:rFonts w:ascii="Times New Roman" w:hAnsi="Times New Roman"/>
                <w:bCs/>
                <w:vertAlign w:val="superscript"/>
                <w:lang w:val="en-GB"/>
              </w:rPr>
              <w:t>3</w:t>
            </w:r>
            <w:r w:rsidRPr="00250FF0">
              <w:rPr>
                <w:rFonts w:ascii="Times New Roman" w:hAnsi="Times New Roman"/>
                <w:bCs/>
                <w:lang w:val="en-GB"/>
              </w:rPr>
              <w:t xml:space="preserve"> </w:t>
            </w:r>
            <w:r w:rsidR="00394593" w:rsidRPr="00250FF0">
              <w:rPr>
                <w:rFonts w:ascii="Times New Roman" w:hAnsi="Times New Roman"/>
                <w:bCs/>
                <w:lang w:val="en-GB"/>
              </w:rPr>
              <w:t>k</w:t>
            </w:r>
            <w:r w:rsidRPr="00250FF0">
              <w:rPr>
                <w:rFonts w:ascii="Times New Roman" w:hAnsi="Times New Roman"/>
                <w:bCs/>
                <w:lang w:val="en-GB"/>
              </w:rPr>
              <w:t>g</w:t>
            </w:r>
            <w:r w:rsidRPr="00250FF0">
              <w:rPr>
                <w:rFonts w:ascii="Times New Roman" w:hAnsi="Times New Roman"/>
                <w:bCs/>
                <w:vertAlign w:val="superscript"/>
                <w:lang w:val="en-GB"/>
              </w:rPr>
              <w:t>-1</w:t>
            </w:r>
          </w:p>
        </w:tc>
        <w:tc>
          <w:tcPr>
            <w:tcW w:w="2155" w:type="dxa"/>
            <w:tcBorders>
              <w:top w:val="nil"/>
            </w:tcBorders>
            <w:vAlign w:val="center"/>
          </w:tcPr>
          <w:p w14:paraId="0007A209" w14:textId="77777777" w:rsidR="00E34663" w:rsidRPr="00250FF0" w:rsidRDefault="00E34663" w:rsidP="00E34663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250FF0">
              <w:rPr>
                <w:rFonts w:ascii="Times New Roman" w:hAnsi="Times New Roman"/>
                <w:bCs/>
                <w:lang w:val="en-GB"/>
              </w:rPr>
              <w:t>1.86</w:t>
            </w:r>
          </w:p>
        </w:tc>
        <w:tc>
          <w:tcPr>
            <w:tcW w:w="2155" w:type="dxa"/>
            <w:tcBorders>
              <w:top w:val="nil"/>
            </w:tcBorders>
            <w:vAlign w:val="center"/>
          </w:tcPr>
          <w:p w14:paraId="3FDFE360" w14:textId="77777777" w:rsidR="00E34663" w:rsidRPr="00250FF0" w:rsidRDefault="00E34663" w:rsidP="00E34663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250FF0">
              <w:rPr>
                <w:rFonts w:ascii="Times New Roman" w:hAnsi="Times New Roman"/>
                <w:bCs/>
                <w:lang w:val="en-GB"/>
              </w:rPr>
              <w:t>1.99</w:t>
            </w:r>
          </w:p>
        </w:tc>
      </w:tr>
    </w:tbl>
    <w:p w14:paraId="4B1C2C65" w14:textId="77777777" w:rsidR="00E34663" w:rsidRPr="00250FF0" w:rsidRDefault="00420D5F" w:rsidP="00CA3253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proofErr w:type="gramStart"/>
      <w:r w:rsidRPr="00250FF0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a</w:t>
      </w:r>
      <w:proofErr w:type="gramEnd"/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Value in parentheses is the 95% confidence interval.</w:t>
      </w:r>
    </w:p>
    <w:p w14:paraId="12E004AC" w14:textId="77777777" w:rsidR="008519B2" w:rsidRPr="00250FF0" w:rsidRDefault="008519B2" w:rsidP="00CA3253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14:paraId="371FF621" w14:textId="57452AC4" w:rsidR="00F368FE" w:rsidRPr="00250FF0" w:rsidRDefault="00BF0136" w:rsidP="00F368F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33F14">
        <w:rPr>
          <w:rFonts w:ascii="Times New Roman" w:hAnsi="Times New Roman"/>
          <w:bCs/>
          <w:sz w:val="24"/>
          <w:szCs w:val="24"/>
          <w:lang w:val="en-GB"/>
        </w:rPr>
        <w:t xml:space="preserve">The data 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indicate that clomazone sorption behaviour could be well described by </w:t>
      </w:r>
      <w:proofErr w:type="spellStart"/>
      <w:r w:rsidRPr="00250FF0">
        <w:rPr>
          <w:rFonts w:ascii="Times New Roman" w:hAnsi="Times New Roman"/>
          <w:bCs/>
          <w:sz w:val="24"/>
          <w:szCs w:val="24"/>
          <w:lang w:val="en-GB"/>
        </w:rPr>
        <w:t>Freundlich</w:t>
      </w:r>
      <w:proofErr w:type="spellEnd"/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lastRenderedPageBreak/>
        <w:t>model with correlation coefficients (</w:t>
      </w:r>
      <w:r w:rsidRPr="00250FF0">
        <w:rPr>
          <w:rFonts w:ascii="Times New Roman" w:hAnsi="Times New Roman"/>
          <w:bCs/>
          <w:i/>
          <w:sz w:val="24"/>
          <w:szCs w:val="24"/>
          <w:lang w:val="en-GB"/>
        </w:rPr>
        <w:t>r</w:t>
      </w:r>
      <w:r w:rsidRPr="00250FF0">
        <w:rPr>
          <w:rFonts w:ascii="Times New Roman" w:hAnsi="Times New Roman"/>
          <w:bCs/>
          <w:i/>
          <w:sz w:val="24"/>
          <w:szCs w:val="24"/>
          <w:vertAlign w:val="superscript"/>
          <w:lang w:val="en-GB"/>
        </w:rPr>
        <w:t>2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>) of 0.997 and 0.998 for Regosol and Chernozem, respectively.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B577E9" w:rsidRPr="00250FF0">
        <w:rPr>
          <w:rFonts w:ascii="Times New Roman" w:hAnsi="Times New Roman"/>
          <w:bCs/>
          <w:sz w:val="24"/>
          <w:szCs w:val="24"/>
          <w:lang w:val="en-GB"/>
        </w:rPr>
        <w:t>T</w:t>
      </w:r>
      <w:r w:rsidR="008519B2" w:rsidRPr="00250FF0">
        <w:rPr>
          <w:rFonts w:ascii="Times New Roman" w:hAnsi="Times New Roman"/>
          <w:bCs/>
          <w:sz w:val="24"/>
          <w:szCs w:val="24"/>
          <w:lang w:val="en-GB"/>
        </w:rPr>
        <w:t>he obtained isotherms are C-type according to Giles classification</w:t>
      </w:r>
      <w:r w:rsidR="008519B2" w:rsidRPr="00250FF0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14</w:t>
      </w:r>
      <w:r w:rsidR="00861C10" w:rsidRPr="00250FF0">
        <w:rPr>
          <w:rFonts w:ascii="Times New Roman" w:hAnsi="Times New Roman"/>
          <w:bCs/>
          <w:sz w:val="24"/>
          <w:szCs w:val="24"/>
          <w:lang w:val="en-GB"/>
        </w:rPr>
        <w:t>,</w:t>
      </w:r>
      <w:r w:rsidR="008519B2" w:rsidRPr="00250FF0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861C10" w:rsidRPr="00250FF0">
        <w:rPr>
          <w:rFonts w:ascii="Times New Roman" w:hAnsi="Times New Roman"/>
          <w:bCs/>
          <w:sz w:val="24"/>
          <w:szCs w:val="24"/>
          <w:lang w:val="en-GB"/>
        </w:rPr>
        <w:t>which</w:t>
      </w:r>
      <w:r w:rsidR="008519B2" w:rsidRPr="00250FF0">
        <w:rPr>
          <w:rFonts w:ascii="Times New Roman" w:hAnsi="Times New Roman"/>
          <w:bCs/>
          <w:sz w:val="24"/>
          <w:szCs w:val="24"/>
          <w:lang w:val="en-GB"/>
        </w:rPr>
        <w:t xml:space="preserve"> is also indicated by </w:t>
      </w:r>
      <w:r w:rsidR="008519B2" w:rsidRPr="00250FF0">
        <w:rPr>
          <w:rFonts w:ascii="Times New Roman" w:hAnsi="Times New Roman"/>
          <w:bCs/>
          <w:i/>
          <w:sz w:val="24"/>
          <w:szCs w:val="24"/>
          <w:lang w:val="en-GB"/>
        </w:rPr>
        <w:t>1/</w:t>
      </w:r>
      <w:proofErr w:type="gramStart"/>
      <w:r w:rsidR="008519B2" w:rsidRPr="00250FF0">
        <w:rPr>
          <w:rFonts w:ascii="Times New Roman" w:hAnsi="Times New Roman"/>
          <w:bCs/>
          <w:i/>
          <w:sz w:val="24"/>
          <w:szCs w:val="24"/>
          <w:lang w:val="en-GB"/>
        </w:rPr>
        <w:t>n</w:t>
      </w:r>
      <w:r w:rsidR="00521C32" w:rsidRPr="003406B5">
        <w:rPr>
          <w:rFonts w:ascii="Times New Roman" w:hAnsi="Times New Roman"/>
          <w:bCs/>
          <w:sz w:val="24"/>
          <w:szCs w:val="24"/>
          <w:vertAlign w:val="subscript"/>
          <w:lang w:val="en-GB"/>
        </w:rPr>
        <w:t>(</w:t>
      </w:r>
      <w:proofErr w:type="gramEnd"/>
      <w:r w:rsidR="00521C32" w:rsidRPr="003406B5">
        <w:rPr>
          <w:rFonts w:ascii="Times New Roman" w:hAnsi="Times New Roman"/>
          <w:bCs/>
          <w:sz w:val="24"/>
          <w:szCs w:val="24"/>
          <w:vertAlign w:val="subscript"/>
          <w:lang w:val="en-GB"/>
        </w:rPr>
        <w:t>ads)</w:t>
      </w:r>
      <w:r w:rsidR="008519B2" w:rsidRPr="00250FF0">
        <w:rPr>
          <w:rFonts w:ascii="Times New Roman" w:hAnsi="Times New Roman"/>
          <w:bCs/>
          <w:sz w:val="24"/>
          <w:szCs w:val="24"/>
          <w:lang w:val="en-GB"/>
        </w:rPr>
        <w:t xml:space="preserve"> parameters</w:t>
      </w:r>
      <w:r w:rsidR="00861C10" w:rsidRPr="00250FF0">
        <w:rPr>
          <w:rFonts w:ascii="Times New Roman" w:hAnsi="Times New Roman"/>
          <w:bCs/>
          <w:sz w:val="24"/>
          <w:szCs w:val="24"/>
          <w:lang w:val="en-GB"/>
        </w:rPr>
        <w:t>,</w:t>
      </w:r>
      <w:r w:rsidR="008519B2" w:rsidRPr="00250FF0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861C10" w:rsidRPr="00250FF0">
        <w:rPr>
          <w:rFonts w:ascii="Times New Roman" w:hAnsi="Times New Roman"/>
          <w:bCs/>
          <w:sz w:val="24"/>
          <w:szCs w:val="24"/>
          <w:lang w:val="en-GB"/>
        </w:rPr>
        <w:t>whose</w:t>
      </w:r>
      <w:r w:rsidR="008519B2" w:rsidRPr="00250FF0">
        <w:rPr>
          <w:rFonts w:ascii="Times New Roman" w:hAnsi="Times New Roman"/>
          <w:bCs/>
          <w:sz w:val="24"/>
          <w:szCs w:val="24"/>
          <w:lang w:val="en-GB"/>
        </w:rPr>
        <w:t xml:space="preserve"> values are close to 1 for both soils under study (Table II).</w:t>
      </w:r>
      <w:r w:rsidR="00EC261D" w:rsidRPr="00250FF0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F61EAC" w:rsidRPr="00250FF0">
        <w:rPr>
          <w:rFonts w:ascii="Times New Roman" w:hAnsi="Times New Roman"/>
          <w:bCs/>
          <w:sz w:val="24"/>
          <w:szCs w:val="24"/>
          <w:lang w:val="en-GB"/>
        </w:rPr>
        <w:t xml:space="preserve">The C-type of </w:t>
      </w:r>
      <w:r w:rsidR="00861C10" w:rsidRPr="00250FF0">
        <w:rPr>
          <w:rFonts w:ascii="Times New Roman" w:hAnsi="Times New Roman"/>
          <w:bCs/>
          <w:sz w:val="24"/>
          <w:szCs w:val="24"/>
          <w:lang w:val="en-GB"/>
        </w:rPr>
        <w:t xml:space="preserve">the </w:t>
      </w:r>
      <w:r w:rsidR="00B045C2" w:rsidRPr="00250FF0">
        <w:rPr>
          <w:rFonts w:ascii="Times New Roman" w:hAnsi="Times New Roman"/>
          <w:bCs/>
          <w:sz w:val="24"/>
          <w:szCs w:val="24"/>
          <w:lang w:val="en-GB"/>
        </w:rPr>
        <w:t>isotherm</w:t>
      </w:r>
      <w:r w:rsidR="00861C10" w:rsidRPr="00250FF0">
        <w:rPr>
          <w:rFonts w:ascii="Times New Roman" w:hAnsi="Times New Roman"/>
          <w:bCs/>
          <w:sz w:val="24"/>
          <w:szCs w:val="24"/>
          <w:lang w:val="en-GB"/>
        </w:rPr>
        <w:t>s</w:t>
      </w:r>
      <w:r w:rsidR="00B045C2" w:rsidRPr="00250FF0">
        <w:rPr>
          <w:rFonts w:ascii="Times New Roman" w:hAnsi="Times New Roman"/>
          <w:bCs/>
          <w:sz w:val="24"/>
          <w:szCs w:val="24"/>
          <w:lang w:val="en-GB"/>
        </w:rPr>
        <w:t xml:space="preserve"> is characterised by a slope that is independent of </w:t>
      </w:r>
      <w:r w:rsidR="00B045C2" w:rsidRPr="00250FF0">
        <w:rPr>
          <w:rFonts w:ascii="Times New Roman" w:hAnsi="Times New Roman"/>
          <w:sz w:val="24"/>
          <w:szCs w:val="24"/>
          <w:lang w:val="en-GB"/>
        </w:rPr>
        <w:t xml:space="preserve">the herbicide initial concentration in the solution, i.e. </w:t>
      </w:r>
      <w:r w:rsidR="00861C10" w:rsidRPr="00250FF0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B045C2" w:rsidRPr="00250FF0">
        <w:rPr>
          <w:rFonts w:ascii="Times New Roman" w:hAnsi="Times New Roman"/>
          <w:sz w:val="24"/>
          <w:szCs w:val="24"/>
          <w:lang w:val="en-GB"/>
        </w:rPr>
        <w:t xml:space="preserve">partition of clomazone molecules between the soil and the liquid phase is constant. However, </w:t>
      </w:r>
      <w:r w:rsidR="00861C10" w:rsidRPr="00250FF0">
        <w:rPr>
          <w:rFonts w:ascii="Times New Roman" w:hAnsi="Times New Roman"/>
          <w:sz w:val="24"/>
          <w:szCs w:val="24"/>
          <w:lang w:val="en-GB"/>
        </w:rPr>
        <w:t>over the entire</w:t>
      </w:r>
      <w:r w:rsidR="00B045C2" w:rsidRPr="00250FF0">
        <w:rPr>
          <w:rFonts w:ascii="Times New Roman" w:hAnsi="Times New Roman"/>
          <w:sz w:val="24"/>
          <w:szCs w:val="24"/>
          <w:lang w:val="en-GB"/>
        </w:rPr>
        <w:t xml:space="preserve"> initial clomazone concentration range stud</w:t>
      </w:r>
      <w:r w:rsidR="00BB28E2" w:rsidRPr="00250FF0">
        <w:rPr>
          <w:rFonts w:ascii="Times New Roman" w:hAnsi="Times New Roman"/>
          <w:sz w:val="24"/>
          <w:szCs w:val="24"/>
          <w:lang w:val="en-GB"/>
        </w:rPr>
        <w:t>ied</w:t>
      </w:r>
      <w:r w:rsidR="00B045C2" w:rsidRPr="00250FF0">
        <w:rPr>
          <w:rFonts w:ascii="Times New Roman" w:hAnsi="Times New Roman"/>
          <w:sz w:val="24"/>
          <w:szCs w:val="24"/>
          <w:lang w:val="en-GB"/>
        </w:rPr>
        <w:t xml:space="preserve"> (0.5-15 </w:t>
      </w:r>
      <w:r w:rsidR="00B045C2" w:rsidRPr="00250FF0">
        <w:rPr>
          <w:rFonts w:ascii="Times New Roman" w:eastAsia="TimesNewRomanPSMT" w:hAnsi="Times New Roman"/>
          <w:sz w:val="24"/>
          <w:szCs w:val="24"/>
          <w:lang w:val="en-GB"/>
        </w:rPr>
        <w:t>mg dm</w:t>
      </w:r>
      <w:r w:rsidR="00B045C2" w:rsidRPr="00250FF0">
        <w:rPr>
          <w:rFonts w:ascii="Times New Roman" w:eastAsia="TimesNewRomanPSMT" w:hAnsi="Times New Roman"/>
          <w:sz w:val="24"/>
          <w:szCs w:val="24"/>
          <w:vertAlign w:val="superscript"/>
          <w:lang w:val="en-GB"/>
        </w:rPr>
        <w:t>-3</w:t>
      </w:r>
      <w:r w:rsidR="00B045C2" w:rsidRPr="00250FF0">
        <w:rPr>
          <w:rFonts w:ascii="Times New Roman" w:hAnsi="Times New Roman"/>
          <w:sz w:val="24"/>
          <w:szCs w:val="24"/>
          <w:lang w:val="en-GB"/>
        </w:rPr>
        <w:t xml:space="preserve">), adsorption </w:t>
      </w:r>
      <w:r w:rsidR="00861C10" w:rsidRPr="00250FF0">
        <w:rPr>
          <w:rFonts w:ascii="Times New Roman" w:hAnsi="Times New Roman"/>
          <w:sz w:val="24"/>
          <w:szCs w:val="24"/>
          <w:lang w:val="en-GB"/>
        </w:rPr>
        <w:t xml:space="preserve">in Chernozem was higher than it was in Regosol </w:t>
      </w:r>
      <w:r w:rsidR="00B045C2" w:rsidRPr="00250FF0">
        <w:rPr>
          <w:rFonts w:ascii="Times New Roman" w:hAnsi="Times New Roman"/>
          <w:sz w:val="24"/>
          <w:szCs w:val="24"/>
          <w:lang w:val="en-GB"/>
        </w:rPr>
        <w:t xml:space="preserve">(Fig. 1), </w:t>
      </w:r>
      <w:r w:rsidR="00861C10" w:rsidRPr="00250FF0">
        <w:rPr>
          <w:rFonts w:ascii="Times New Roman" w:hAnsi="Times New Roman"/>
          <w:sz w:val="24"/>
          <w:szCs w:val="24"/>
          <w:lang w:val="en-GB"/>
        </w:rPr>
        <w:t>which was</w:t>
      </w:r>
      <w:r w:rsidR="00B045C2" w:rsidRPr="00250FF0">
        <w:rPr>
          <w:rFonts w:ascii="Times New Roman" w:hAnsi="Times New Roman"/>
          <w:sz w:val="24"/>
          <w:szCs w:val="24"/>
          <w:lang w:val="en-GB"/>
        </w:rPr>
        <w:t xml:space="preserve"> also confirmed </w:t>
      </w:r>
      <w:r w:rsidR="00861C10" w:rsidRPr="00250FF0">
        <w:rPr>
          <w:rFonts w:ascii="Times New Roman" w:hAnsi="Times New Roman"/>
          <w:sz w:val="24"/>
          <w:szCs w:val="24"/>
          <w:lang w:val="en-GB"/>
        </w:rPr>
        <w:t xml:space="preserve">by </w:t>
      </w:r>
      <w:r w:rsidR="00B045C2" w:rsidRPr="00250FF0">
        <w:rPr>
          <w:rFonts w:ascii="Times New Roman" w:hAnsi="Times New Roman"/>
          <w:sz w:val="24"/>
          <w:szCs w:val="24"/>
          <w:lang w:val="en-GB"/>
        </w:rPr>
        <w:t xml:space="preserve">the obtained </w:t>
      </w:r>
      <w:proofErr w:type="spellStart"/>
      <w:r w:rsidR="00B045C2" w:rsidRPr="00250FF0">
        <w:rPr>
          <w:rFonts w:ascii="Times New Roman" w:hAnsi="Times New Roman"/>
          <w:bCs/>
          <w:sz w:val="24"/>
          <w:szCs w:val="24"/>
          <w:lang w:val="en-GB"/>
        </w:rPr>
        <w:t>Freundlich</w:t>
      </w:r>
      <w:proofErr w:type="spellEnd"/>
      <w:r w:rsidR="00B045C2" w:rsidRPr="00250FF0">
        <w:rPr>
          <w:rFonts w:ascii="Times New Roman" w:hAnsi="Times New Roman"/>
          <w:bCs/>
          <w:sz w:val="24"/>
          <w:szCs w:val="24"/>
          <w:lang w:val="en-GB"/>
        </w:rPr>
        <w:t xml:space="preserve"> parameters </w:t>
      </w:r>
      <w:proofErr w:type="spellStart"/>
      <w:r w:rsidR="00B045C2" w:rsidRPr="00250FF0">
        <w:rPr>
          <w:rFonts w:ascii="Times New Roman" w:hAnsi="Times New Roman"/>
          <w:bCs/>
          <w:i/>
          <w:sz w:val="24"/>
          <w:szCs w:val="24"/>
          <w:lang w:val="en-GB"/>
        </w:rPr>
        <w:t>K</w:t>
      </w:r>
      <w:r w:rsidR="00B045C2" w:rsidRPr="003406B5">
        <w:rPr>
          <w:rFonts w:ascii="Times New Roman" w:hAnsi="Times New Roman"/>
          <w:bCs/>
          <w:sz w:val="24"/>
          <w:szCs w:val="24"/>
          <w:vertAlign w:val="subscript"/>
          <w:lang w:val="en-GB"/>
        </w:rPr>
        <w:t>f</w:t>
      </w:r>
      <w:proofErr w:type="spellEnd"/>
      <w:r w:rsidR="00521C32" w:rsidRPr="003406B5">
        <w:rPr>
          <w:rFonts w:ascii="Times New Roman" w:hAnsi="Times New Roman"/>
          <w:bCs/>
          <w:sz w:val="24"/>
          <w:szCs w:val="24"/>
          <w:vertAlign w:val="subscript"/>
          <w:lang w:val="en-GB"/>
        </w:rPr>
        <w:t xml:space="preserve"> (ads)</w:t>
      </w:r>
      <w:r w:rsidR="00B045C2" w:rsidRPr="00250FF0">
        <w:rPr>
          <w:rFonts w:ascii="Times New Roman" w:hAnsi="Times New Roman"/>
          <w:bCs/>
          <w:sz w:val="24"/>
          <w:szCs w:val="24"/>
          <w:lang w:val="en-GB"/>
        </w:rPr>
        <w:t xml:space="preserve"> (2.21 and 3.43 for R</w:t>
      </w:r>
      <w:r w:rsidR="00E82976" w:rsidRPr="00250FF0">
        <w:rPr>
          <w:rFonts w:ascii="Times New Roman" w:hAnsi="Times New Roman"/>
          <w:bCs/>
          <w:sz w:val="24"/>
          <w:szCs w:val="24"/>
          <w:lang w:val="en-GB"/>
        </w:rPr>
        <w:t>egosol</w:t>
      </w:r>
      <w:r w:rsidR="00B045C2" w:rsidRPr="00250FF0">
        <w:rPr>
          <w:rFonts w:ascii="Times New Roman" w:hAnsi="Times New Roman"/>
          <w:bCs/>
          <w:sz w:val="24"/>
          <w:szCs w:val="24"/>
          <w:lang w:val="en-GB"/>
        </w:rPr>
        <w:t xml:space="preserve"> and </w:t>
      </w:r>
      <w:r w:rsidR="00E82976" w:rsidRPr="00250FF0">
        <w:rPr>
          <w:rFonts w:ascii="Times New Roman" w:hAnsi="Times New Roman"/>
          <w:bCs/>
          <w:sz w:val="24"/>
          <w:szCs w:val="24"/>
          <w:lang w:val="en-GB"/>
        </w:rPr>
        <w:t>Chernozem</w:t>
      </w:r>
      <w:r w:rsidR="00B045C2" w:rsidRPr="00250FF0">
        <w:rPr>
          <w:rFonts w:ascii="Times New Roman" w:hAnsi="Times New Roman"/>
          <w:bCs/>
          <w:sz w:val="24"/>
          <w:szCs w:val="24"/>
          <w:lang w:val="en-GB"/>
        </w:rPr>
        <w:t xml:space="preserve">, respectively) (Table </w:t>
      </w:r>
      <w:r w:rsidR="00BD345A" w:rsidRPr="00250FF0">
        <w:rPr>
          <w:rFonts w:ascii="Times New Roman" w:hAnsi="Times New Roman"/>
          <w:bCs/>
          <w:sz w:val="24"/>
          <w:szCs w:val="24"/>
          <w:lang w:val="en-GB"/>
        </w:rPr>
        <w:t>II</w:t>
      </w:r>
      <w:r w:rsidR="00B045C2" w:rsidRPr="00250FF0">
        <w:rPr>
          <w:rFonts w:ascii="Times New Roman" w:hAnsi="Times New Roman"/>
          <w:bCs/>
          <w:sz w:val="24"/>
          <w:szCs w:val="24"/>
          <w:lang w:val="en-GB"/>
        </w:rPr>
        <w:t>). These relation</w:t>
      </w:r>
      <w:r w:rsidR="00861C10" w:rsidRPr="00250FF0">
        <w:rPr>
          <w:rFonts w:ascii="Times New Roman" w:hAnsi="Times New Roman"/>
          <w:bCs/>
          <w:sz w:val="24"/>
          <w:szCs w:val="24"/>
          <w:lang w:val="en-GB"/>
        </w:rPr>
        <w:t>s</w:t>
      </w:r>
      <w:r w:rsidR="00B045C2" w:rsidRPr="00250FF0">
        <w:rPr>
          <w:rFonts w:ascii="Times New Roman" w:hAnsi="Times New Roman"/>
          <w:bCs/>
          <w:sz w:val="24"/>
          <w:szCs w:val="24"/>
          <w:lang w:val="en-GB"/>
        </w:rPr>
        <w:t xml:space="preserve"> of </w:t>
      </w:r>
      <w:proofErr w:type="spellStart"/>
      <w:r w:rsidR="00521C32" w:rsidRPr="00250FF0">
        <w:rPr>
          <w:rFonts w:ascii="Times New Roman" w:hAnsi="Times New Roman"/>
          <w:bCs/>
          <w:i/>
          <w:sz w:val="24"/>
          <w:szCs w:val="24"/>
          <w:lang w:val="en-GB"/>
        </w:rPr>
        <w:t>K</w:t>
      </w:r>
      <w:r w:rsidR="00521C32" w:rsidRPr="003406B5">
        <w:rPr>
          <w:rFonts w:ascii="Times New Roman" w:hAnsi="Times New Roman"/>
          <w:bCs/>
          <w:sz w:val="24"/>
          <w:szCs w:val="24"/>
          <w:vertAlign w:val="subscript"/>
          <w:lang w:val="en-GB"/>
        </w:rPr>
        <w:t>f</w:t>
      </w:r>
      <w:proofErr w:type="spellEnd"/>
      <w:r w:rsidR="00521C32" w:rsidRPr="003406B5">
        <w:rPr>
          <w:rFonts w:ascii="Times New Roman" w:hAnsi="Times New Roman"/>
          <w:bCs/>
          <w:sz w:val="24"/>
          <w:szCs w:val="24"/>
          <w:vertAlign w:val="subscript"/>
          <w:lang w:val="en-GB"/>
        </w:rPr>
        <w:t xml:space="preserve"> (ads)</w:t>
      </w:r>
      <w:r w:rsidR="00B045C2" w:rsidRPr="00250FF0">
        <w:rPr>
          <w:rFonts w:ascii="Times New Roman" w:hAnsi="Times New Roman"/>
          <w:bCs/>
          <w:sz w:val="24"/>
          <w:szCs w:val="24"/>
          <w:lang w:val="en-GB"/>
        </w:rPr>
        <w:t xml:space="preserve"> values </w:t>
      </w:r>
      <w:r w:rsidR="00B045C2" w:rsidRPr="00250FF0">
        <w:rPr>
          <w:rFonts w:ascii="Times New Roman" w:hAnsi="Times New Roman"/>
          <w:sz w:val="24"/>
          <w:szCs w:val="24"/>
          <w:lang w:val="en-GB"/>
        </w:rPr>
        <w:t xml:space="preserve">correspond well with the obtained relation for </w:t>
      </w:r>
      <w:proofErr w:type="spellStart"/>
      <w:proofErr w:type="gramStart"/>
      <w:r w:rsidR="00B045C2" w:rsidRPr="00250FF0">
        <w:rPr>
          <w:rFonts w:ascii="Times New Roman" w:hAnsi="Times New Roman"/>
          <w:i/>
          <w:sz w:val="24"/>
          <w:szCs w:val="24"/>
          <w:lang w:val="en-GB"/>
        </w:rPr>
        <w:t>K</w:t>
      </w:r>
      <w:r w:rsidR="00B045C2" w:rsidRPr="003406B5">
        <w:rPr>
          <w:rFonts w:ascii="Times New Roman" w:hAnsi="Times New Roman"/>
          <w:sz w:val="24"/>
          <w:szCs w:val="24"/>
          <w:vertAlign w:val="subscript"/>
          <w:lang w:val="en-GB"/>
        </w:rPr>
        <w:t>d</w:t>
      </w:r>
      <w:proofErr w:type="spellEnd"/>
      <w:proofErr w:type="gramEnd"/>
      <w:r w:rsidR="00195E6A" w:rsidRPr="003406B5">
        <w:rPr>
          <w:rFonts w:ascii="Times New Roman" w:hAnsi="Times New Roman"/>
          <w:sz w:val="24"/>
          <w:szCs w:val="24"/>
          <w:vertAlign w:val="subscript"/>
          <w:lang w:val="en-GB"/>
        </w:rPr>
        <w:t xml:space="preserve"> (ads)</w:t>
      </w:r>
      <w:r w:rsidR="00B045C2" w:rsidRPr="00250FF0">
        <w:rPr>
          <w:rFonts w:ascii="Times New Roman" w:hAnsi="Times New Roman"/>
          <w:sz w:val="24"/>
          <w:szCs w:val="24"/>
          <w:lang w:val="en-GB"/>
        </w:rPr>
        <w:t xml:space="preserve"> values (Table </w:t>
      </w:r>
      <w:r w:rsidR="00BD345A" w:rsidRPr="00250FF0">
        <w:rPr>
          <w:rFonts w:ascii="Times New Roman" w:hAnsi="Times New Roman"/>
          <w:sz w:val="24"/>
          <w:szCs w:val="24"/>
          <w:lang w:val="en-GB"/>
        </w:rPr>
        <w:t>II</w:t>
      </w:r>
      <w:r w:rsidR="00B045C2" w:rsidRPr="00250FF0">
        <w:rPr>
          <w:rFonts w:ascii="Times New Roman" w:hAnsi="Times New Roman"/>
          <w:sz w:val="24"/>
          <w:szCs w:val="24"/>
          <w:lang w:val="en-GB"/>
        </w:rPr>
        <w:t xml:space="preserve">), </w:t>
      </w:r>
      <w:r w:rsidR="00861C10" w:rsidRPr="00250FF0">
        <w:rPr>
          <w:rFonts w:ascii="Times New Roman" w:hAnsi="Times New Roman"/>
          <w:sz w:val="24"/>
          <w:szCs w:val="24"/>
          <w:lang w:val="en-GB"/>
        </w:rPr>
        <w:t>which</w:t>
      </w:r>
      <w:r w:rsidR="00B045C2" w:rsidRPr="00250FF0">
        <w:rPr>
          <w:rFonts w:ascii="Times New Roman" w:hAnsi="Times New Roman"/>
          <w:sz w:val="24"/>
          <w:szCs w:val="24"/>
          <w:lang w:val="en-GB"/>
        </w:rPr>
        <w:t xml:space="preserve"> is not surprising considering </w:t>
      </w:r>
      <w:r w:rsidR="00861C10" w:rsidRPr="00250FF0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B045C2" w:rsidRPr="00250FF0">
        <w:rPr>
          <w:rFonts w:ascii="Times New Roman" w:hAnsi="Times New Roman"/>
          <w:sz w:val="24"/>
          <w:szCs w:val="24"/>
          <w:lang w:val="en-GB"/>
        </w:rPr>
        <w:t xml:space="preserve">linear C-type of adsorption isotherms obtained for both soils. Considering </w:t>
      </w:r>
      <w:r w:rsidR="00861C10" w:rsidRPr="00250FF0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B045C2" w:rsidRPr="00250FF0">
        <w:rPr>
          <w:rFonts w:ascii="Times New Roman" w:hAnsi="Times New Roman"/>
          <w:sz w:val="24"/>
          <w:szCs w:val="24"/>
          <w:lang w:val="en-GB"/>
        </w:rPr>
        <w:t xml:space="preserve">composition of </w:t>
      </w:r>
      <w:r w:rsidR="00861C10" w:rsidRPr="00250FF0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B045C2" w:rsidRPr="00250FF0">
        <w:rPr>
          <w:rFonts w:ascii="Times New Roman" w:hAnsi="Times New Roman"/>
          <w:sz w:val="24"/>
          <w:szCs w:val="24"/>
          <w:lang w:val="en-GB"/>
        </w:rPr>
        <w:t xml:space="preserve">tested soils, and the </w:t>
      </w:r>
      <w:r w:rsidR="0097108A" w:rsidRPr="00250FF0">
        <w:rPr>
          <w:rFonts w:ascii="Times New Roman" w:eastAsia="GaramondPremrPro" w:hAnsi="Times New Roman"/>
          <w:sz w:val="24"/>
          <w:szCs w:val="24"/>
          <w:lang w:val="en-GB"/>
        </w:rPr>
        <w:t>well-known</w:t>
      </w:r>
      <w:r w:rsidR="00B045C2" w:rsidRPr="00250FF0">
        <w:rPr>
          <w:rFonts w:ascii="Times New Roman" w:eastAsia="GaramondPremrPro" w:hAnsi="Times New Roman"/>
          <w:sz w:val="24"/>
          <w:szCs w:val="24"/>
          <w:lang w:val="en-GB"/>
        </w:rPr>
        <w:t xml:space="preserve"> fact that pesticide sorption </w:t>
      </w:r>
      <w:r w:rsidR="00B16FF4" w:rsidRPr="00250FF0">
        <w:rPr>
          <w:rFonts w:ascii="Times New Roman" w:eastAsia="GaramondPremrPro" w:hAnsi="Times New Roman"/>
          <w:sz w:val="24"/>
          <w:szCs w:val="24"/>
          <w:lang w:val="en-GB"/>
        </w:rPr>
        <w:t xml:space="preserve">in </w:t>
      </w:r>
      <w:r w:rsidR="00B045C2" w:rsidRPr="00250FF0">
        <w:rPr>
          <w:rFonts w:ascii="Times New Roman" w:eastAsia="GaramondPremrPro" w:hAnsi="Times New Roman"/>
          <w:sz w:val="24"/>
          <w:szCs w:val="24"/>
          <w:lang w:val="en-GB"/>
        </w:rPr>
        <w:t xml:space="preserve">soil </w:t>
      </w:r>
      <w:r w:rsidR="00B16FF4" w:rsidRPr="00250FF0">
        <w:rPr>
          <w:rFonts w:ascii="Times New Roman" w:eastAsia="GaramondPremrPro" w:hAnsi="Times New Roman"/>
          <w:sz w:val="24"/>
          <w:szCs w:val="24"/>
          <w:lang w:val="en-GB"/>
        </w:rPr>
        <w:t>occurs</w:t>
      </w:r>
      <w:r w:rsidR="00B045C2" w:rsidRPr="00250FF0">
        <w:rPr>
          <w:rFonts w:ascii="Times New Roman" w:eastAsia="GaramondPremrPro" w:hAnsi="Times New Roman"/>
          <w:sz w:val="24"/>
          <w:szCs w:val="24"/>
          <w:lang w:val="en-GB"/>
        </w:rPr>
        <w:t xml:space="preserve"> either </w:t>
      </w:r>
      <w:r w:rsidR="00B16FF4" w:rsidRPr="00250FF0">
        <w:rPr>
          <w:rFonts w:ascii="Times New Roman" w:eastAsia="GaramondPremrPro" w:hAnsi="Times New Roman"/>
          <w:sz w:val="24"/>
          <w:szCs w:val="24"/>
          <w:lang w:val="en-GB"/>
        </w:rPr>
        <w:t xml:space="preserve">through </w:t>
      </w:r>
      <w:r w:rsidR="00B045C2" w:rsidRPr="00250FF0">
        <w:rPr>
          <w:rFonts w:ascii="Times New Roman" w:eastAsia="GaramondPremrPro" w:hAnsi="Times New Roman"/>
          <w:sz w:val="24"/>
          <w:szCs w:val="24"/>
          <w:lang w:val="en-GB"/>
        </w:rPr>
        <w:t>t</w:t>
      </w:r>
      <w:r w:rsidR="00B16FF4" w:rsidRPr="00250FF0">
        <w:rPr>
          <w:rFonts w:ascii="Times New Roman" w:eastAsia="GaramondPremrPro" w:hAnsi="Times New Roman"/>
          <w:sz w:val="24"/>
          <w:szCs w:val="24"/>
          <w:lang w:val="en-GB"/>
        </w:rPr>
        <w:t>he mineral or organic component</w:t>
      </w:r>
      <w:r w:rsidR="00B045C2" w:rsidRPr="00250FF0">
        <w:rPr>
          <w:rFonts w:ascii="Times New Roman" w:eastAsia="GaramondPremrPro" w:hAnsi="Times New Roman"/>
          <w:sz w:val="24"/>
          <w:szCs w:val="24"/>
          <w:lang w:val="en-GB"/>
        </w:rPr>
        <w:t xml:space="preserve">, or both, the obtained results are not surprising. Generally, in soils that have higher </w:t>
      </w:r>
      <w:r w:rsidR="00B16FF4" w:rsidRPr="00250FF0">
        <w:rPr>
          <w:rFonts w:ascii="Times New Roman" w:eastAsia="GaramondPremrPro" w:hAnsi="Times New Roman"/>
          <w:sz w:val="24"/>
          <w:szCs w:val="24"/>
          <w:lang w:val="en-GB"/>
        </w:rPr>
        <w:t xml:space="preserve">levels of </w:t>
      </w:r>
      <w:r w:rsidR="00B045C2" w:rsidRPr="00250FF0">
        <w:rPr>
          <w:rFonts w:ascii="Times New Roman" w:eastAsia="GaramondPremrPro" w:hAnsi="Times New Roman"/>
          <w:sz w:val="24"/>
          <w:szCs w:val="24"/>
          <w:lang w:val="en-GB"/>
        </w:rPr>
        <w:t xml:space="preserve">organic matter (&gt;5%), pesticide adsorption </w:t>
      </w:r>
      <w:r w:rsidR="00B16FF4" w:rsidRPr="00250FF0">
        <w:rPr>
          <w:rFonts w:ascii="Times New Roman" w:eastAsia="GaramondPremrPro" w:hAnsi="Times New Roman"/>
          <w:sz w:val="24"/>
          <w:szCs w:val="24"/>
          <w:lang w:val="en-GB"/>
        </w:rPr>
        <w:t xml:space="preserve">may be assumed to </w:t>
      </w:r>
      <w:r w:rsidR="00B045C2" w:rsidRPr="00250FF0">
        <w:rPr>
          <w:rFonts w:ascii="Times New Roman" w:eastAsia="GaramondPremrPro" w:hAnsi="Times New Roman"/>
          <w:sz w:val="24"/>
          <w:szCs w:val="24"/>
          <w:lang w:val="en-GB"/>
        </w:rPr>
        <w:t xml:space="preserve">depend on organic matter content, while the nature of organic matter </w:t>
      </w:r>
      <w:r w:rsidR="00B16FF4" w:rsidRPr="00250FF0">
        <w:rPr>
          <w:rFonts w:ascii="Times New Roman" w:eastAsia="GaramondPremrPro" w:hAnsi="Times New Roman"/>
          <w:sz w:val="24"/>
          <w:szCs w:val="24"/>
          <w:lang w:val="en-GB"/>
        </w:rPr>
        <w:t>has</w:t>
      </w:r>
      <w:r w:rsidR="00B045C2" w:rsidRPr="00250FF0">
        <w:rPr>
          <w:rFonts w:ascii="Times New Roman" w:eastAsia="GaramondPremrPro" w:hAnsi="Times New Roman"/>
          <w:sz w:val="24"/>
          <w:szCs w:val="24"/>
          <w:lang w:val="en-GB"/>
        </w:rPr>
        <w:t xml:space="preserve"> little influence on adsorption processes</w:t>
      </w:r>
      <w:r w:rsidR="00AB4D82" w:rsidRPr="00250FF0">
        <w:rPr>
          <w:rFonts w:ascii="Times New Roman" w:eastAsia="GaramondPremrPro" w:hAnsi="Times New Roman"/>
          <w:sz w:val="24"/>
          <w:szCs w:val="24"/>
          <w:lang w:val="en-GB"/>
        </w:rPr>
        <w:t>.</w:t>
      </w:r>
      <w:r w:rsidR="002C0C98" w:rsidRPr="00250FF0">
        <w:rPr>
          <w:rFonts w:ascii="Times New Roman" w:eastAsia="GaramondPremrPro" w:hAnsi="Times New Roman"/>
          <w:sz w:val="24"/>
          <w:szCs w:val="24"/>
          <w:vertAlign w:val="superscript"/>
          <w:lang w:val="en-GB"/>
        </w:rPr>
        <w:t xml:space="preserve">15-17 </w:t>
      </w:r>
      <w:r w:rsidR="00B16FF4" w:rsidRPr="00250FF0">
        <w:rPr>
          <w:rFonts w:ascii="Times New Roman" w:eastAsia="GaramondPremrPro" w:hAnsi="Times New Roman"/>
          <w:sz w:val="24"/>
          <w:szCs w:val="24"/>
          <w:lang w:val="en-GB"/>
        </w:rPr>
        <w:t>Conversely</w:t>
      </w:r>
      <w:r w:rsidR="00B045C2" w:rsidRPr="00250FF0">
        <w:rPr>
          <w:rFonts w:ascii="Times New Roman" w:eastAsia="GaramondPremrPro" w:hAnsi="Times New Roman"/>
          <w:sz w:val="24"/>
          <w:szCs w:val="24"/>
          <w:lang w:val="en-GB"/>
        </w:rPr>
        <w:t>, in soils with low organic matter contents, the adsorption of pesticides often depends on active inorganic fraction components, which is predominantly the clay fraction. Therefore, higher OC and clay contents in C</w:t>
      </w:r>
      <w:r w:rsidR="00E82976" w:rsidRPr="00250FF0">
        <w:rPr>
          <w:rFonts w:ascii="Times New Roman" w:eastAsia="GaramondPremrPro" w:hAnsi="Times New Roman"/>
          <w:sz w:val="24"/>
          <w:szCs w:val="24"/>
          <w:lang w:val="en-GB"/>
        </w:rPr>
        <w:t>hernozem</w:t>
      </w:r>
      <w:r w:rsidR="00B045C2" w:rsidRPr="00250FF0">
        <w:rPr>
          <w:rFonts w:ascii="Times New Roman" w:eastAsia="GaramondPremrPro" w:hAnsi="Times New Roman"/>
          <w:sz w:val="24"/>
          <w:szCs w:val="24"/>
          <w:lang w:val="en-GB"/>
        </w:rPr>
        <w:t xml:space="preserve"> than </w:t>
      </w:r>
      <w:r w:rsidR="00E82976" w:rsidRPr="00250FF0">
        <w:rPr>
          <w:rFonts w:ascii="Times New Roman" w:eastAsia="GaramondPremrPro" w:hAnsi="Times New Roman"/>
          <w:sz w:val="24"/>
          <w:szCs w:val="24"/>
          <w:lang w:val="en-GB"/>
        </w:rPr>
        <w:t>in Regosol</w:t>
      </w:r>
      <w:r w:rsidR="00B045C2" w:rsidRPr="00250FF0">
        <w:rPr>
          <w:rFonts w:ascii="Times New Roman" w:eastAsia="GaramondPremrPro" w:hAnsi="Times New Roman"/>
          <w:sz w:val="24"/>
          <w:szCs w:val="24"/>
          <w:lang w:val="en-GB"/>
        </w:rPr>
        <w:t xml:space="preserve"> clearly indicate that higher adsorption could be expected on </w:t>
      </w:r>
      <w:r w:rsidR="00E82976" w:rsidRPr="00250FF0">
        <w:rPr>
          <w:rFonts w:ascii="Times New Roman" w:eastAsia="GaramondPremrPro" w:hAnsi="Times New Roman"/>
          <w:sz w:val="24"/>
          <w:szCs w:val="24"/>
          <w:lang w:val="en-GB"/>
        </w:rPr>
        <w:t>Chernozem</w:t>
      </w:r>
      <w:r w:rsidR="00B16FF4" w:rsidRPr="00250FF0">
        <w:rPr>
          <w:rFonts w:ascii="Times New Roman" w:eastAsia="GaramondPremrPro" w:hAnsi="Times New Roman"/>
          <w:sz w:val="24"/>
          <w:szCs w:val="24"/>
          <w:lang w:val="en-GB"/>
        </w:rPr>
        <w:t xml:space="preserve"> soil particles</w:t>
      </w:r>
      <w:r w:rsidR="00B045C2" w:rsidRPr="00250FF0">
        <w:rPr>
          <w:rFonts w:ascii="Times New Roman" w:eastAsia="GaramondPremrPro" w:hAnsi="Times New Roman"/>
          <w:sz w:val="24"/>
          <w:szCs w:val="24"/>
          <w:lang w:val="en-GB"/>
        </w:rPr>
        <w:t xml:space="preserve">. However, if we assume that OC is the main soil parameter responsible for clomazone sorption, the values of </w:t>
      </w:r>
      <w:r w:rsidR="00B045C2" w:rsidRPr="00250FF0">
        <w:rPr>
          <w:rFonts w:ascii="Times New Roman" w:eastAsia="GaramondPremrPro" w:hAnsi="Times New Roman"/>
          <w:i/>
          <w:sz w:val="24"/>
          <w:szCs w:val="24"/>
          <w:lang w:val="en-GB"/>
        </w:rPr>
        <w:t>K</w:t>
      </w:r>
      <w:r w:rsidR="00B045C2" w:rsidRPr="003406B5">
        <w:rPr>
          <w:rFonts w:ascii="Times New Roman" w:eastAsia="GaramondPremrPro" w:hAnsi="Times New Roman"/>
          <w:sz w:val="24"/>
          <w:szCs w:val="24"/>
          <w:vertAlign w:val="subscript"/>
          <w:lang w:val="en-GB"/>
        </w:rPr>
        <w:t>OC</w:t>
      </w:r>
      <w:r w:rsidR="009B092B" w:rsidRPr="003406B5">
        <w:rPr>
          <w:rFonts w:ascii="Times New Roman" w:eastAsia="GaramondPremrPro" w:hAnsi="Times New Roman"/>
          <w:sz w:val="24"/>
          <w:szCs w:val="24"/>
          <w:vertAlign w:val="subscript"/>
          <w:lang w:val="en-GB"/>
        </w:rPr>
        <w:t xml:space="preserve"> (ads)</w:t>
      </w:r>
      <w:r w:rsidR="00B045C2" w:rsidRPr="00250FF0">
        <w:rPr>
          <w:rFonts w:ascii="Times New Roman" w:eastAsia="GaramondPremrPro" w:hAnsi="Times New Roman"/>
          <w:sz w:val="24"/>
          <w:szCs w:val="24"/>
          <w:lang w:val="en-GB"/>
        </w:rPr>
        <w:t xml:space="preserve"> coefficients calculated for both soils </w:t>
      </w:r>
      <w:r w:rsidR="00B16FF4" w:rsidRPr="00250FF0">
        <w:rPr>
          <w:rFonts w:ascii="Times New Roman" w:eastAsia="GaramondPremrPro" w:hAnsi="Times New Roman"/>
          <w:sz w:val="24"/>
          <w:szCs w:val="24"/>
          <w:lang w:val="en-GB"/>
        </w:rPr>
        <w:t>should</w:t>
      </w:r>
      <w:r w:rsidR="00B045C2" w:rsidRPr="00250FF0">
        <w:rPr>
          <w:rFonts w:ascii="Times New Roman" w:eastAsia="GaramondPremrPro" w:hAnsi="Times New Roman"/>
          <w:sz w:val="24"/>
          <w:szCs w:val="24"/>
          <w:lang w:val="en-GB"/>
        </w:rPr>
        <w:t xml:space="preserve"> be very close to each other. </w:t>
      </w:r>
      <w:r w:rsidR="00B045C2" w:rsidRPr="00250FF0">
        <w:rPr>
          <w:rFonts w:ascii="Times New Roman" w:hAnsi="Times New Roman"/>
          <w:bCs/>
          <w:sz w:val="24"/>
          <w:szCs w:val="24"/>
          <w:lang w:val="en-GB"/>
        </w:rPr>
        <w:t xml:space="preserve">Indeed, by comparing the </w:t>
      </w:r>
      <w:r w:rsidR="00B045C2" w:rsidRPr="00250FF0">
        <w:rPr>
          <w:rFonts w:ascii="Times New Roman" w:hAnsi="Times New Roman"/>
          <w:bCs/>
          <w:i/>
          <w:sz w:val="24"/>
          <w:szCs w:val="24"/>
          <w:lang w:val="en-GB"/>
        </w:rPr>
        <w:t>K</w:t>
      </w:r>
      <w:r w:rsidR="00B045C2" w:rsidRPr="003406B5">
        <w:rPr>
          <w:rFonts w:ascii="Times New Roman" w:hAnsi="Times New Roman"/>
          <w:bCs/>
          <w:sz w:val="24"/>
          <w:szCs w:val="24"/>
          <w:vertAlign w:val="subscript"/>
          <w:lang w:val="en-GB"/>
        </w:rPr>
        <w:t>OC</w:t>
      </w:r>
      <w:r w:rsidR="009B092B" w:rsidRPr="003406B5">
        <w:rPr>
          <w:rFonts w:ascii="Times New Roman" w:hAnsi="Times New Roman"/>
          <w:bCs/>
          <w:sz w:val="24"/>
          <w:szCs w:val="24"/>
          <w:vertAlign w:val="subscript"/>
          <w:lang w:val="en-GB"/>
        </w:rPr>
        <w:t xml:space="preserve"> (ads)</w:t>
      </w:r>
      <w:r w:rsidR="00BD345A" w:rsidRPr="00250FF0">
        <w:rPr>
          <w:rFonts w:ascii="Times New Roman" w:hAnsi="Times New Roman"/>
          <w:bCs/>
          <w:sz w:val="24"/>
          <w:szCs w:val="24"/>
          <w:lang w:val="en-GB"/>
        </w:rPr>
        <w:t xml:space="preserve"> constants presented in Table II</w:t>
      </w:r>
      <w:r w:rsidR="00B045C2" w:rsidRPr="00250FF0">
        <w:rPr>
          <w:rFonts w:ascii="Times New Roman" w:hAnsi="Times New Roman"/>
          <w:bCs/>
          <w:sz w:val="24"/>
          <w:szCs w:val="24"/>
          <w:lang w:val="en-GB"/>
        </w:rPr>
        <w:t xml:space="preserve">, it </w:t>
      </w:r>
      <w:r w:rsidR="00B16FF4" w:rsidRPr="00250FF0">
        <w:rPr>
          <w:rFonts w:ascii="Times New Roman" w:hAnsi="Times New Roman"/>
          <w:bCs/>
          <w:sz w:val="24"/>
          <w:szCs w:val="24"/>
          <w:lang w:val="en-GB"/>
        </w:rPr>
        <w:t>becomes evident</w:t>
      </w:r>
      <w:r w:rsidR="00B045C2" w:rsidRPr="00250FF0">
        <w:rPr>
          <w:rFonts w:ascii="Times New Roman" w:hAnsi="Times New Roman"/>
          <w:bCs/>
          <w:sz w:val="24"/>
          <w:szCs w:val="24"/>
          <w:lang w:val="en-GB"/>
        </w:rPr>
        <w:t xml:space="preserve"> that the sorption of clomazone molecules in both tested soils takes place primarily at the active sorption centres of </w:t>
      </w:r>
      <w:r w:rsidR="00B16FF4" w:rsidRPr="00250FF0">
        <w:rPr>
          <w:rFonts w:ascii="Times New Roman" w:hAnsi="Times New Roman"/>
          <w:bCs/>
          <w:sz w:val="24"/>
          <w:szCs w:val="24"/>
          <w:lang w:val="en-GB"/>
        </w:rPr>
        <w:t>organic matter. However, slight</w:t>
      </w:r>
      <w:r w:rsidR="00B045C2" w:rsidRPr="00250FF0">
        <w:rPr>
          <w:rFonts w:ascii="Times New Roman" w:hAnsi="Times New Roman"/>
          <w:bCs/>
          <w:sz w:val="24"/>
          <w:szCs w:val="24"/>
          <w:lang w:val="en-GB"/>
        </w:rPr>
        <w:t xml:space="preserve"> differences </w:t>
      </w:r>
      <w:r w:rsidR="00B16FF4" w:rsidRPr="00250FF0">
        <w:rPr>
          <w:rFonts w:ascii="Times New Roman" w:hAnsi="Times New Roman"/>
          <w:bCs/>
          <w:sz w:val="24"/>
          <w:szCs w:val="24"/>
          <w:lang w:val="en-GB"/>
        </w:rPr>
        <w:t>in the</w:t>
      </w:r>
      <w:r w:rsidR="00B045C2" w:rsidRPr="00250FF0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B045C2" w:rsidRPr="00250FF0">
        <w:rPr>
          <w:rFonts w:ascii="Times New Roman" w:hAnsi="Times New Roman"/>
          <w:bCs/>
          <w:i/>
          <w:sz w:val="24"/>
          <w:szCs w:val="24"/>
          <w:lang w:val="en-GB"/>
        </w:rPr>
        <w:t>K</w:t>
      </w:r>
      <w:r w:rsidR="00B045C2" w:rsidRPr="003406B5">
        <w:rPr>
          <w:rFonts w:ascii="Times New Roman" w:hAnsi="Times New Roman"/>
          <w:bCs/>
          <w:sz w:val="24"/>
          <w:szCs w:val="24"/>
          <w:vertAlign w:val="subscript"/>
          <w:lang w:val="en-GB"/>
        </w:rPr>
        <w:t>OC</w:t>
      </w:r>
      <w:r w:rsidR="0055729B" w:rsidRPr="003406B5">
        <w:rPr>
          <w:rFonts w:ascii="Times New Roman" w:hAnsi="Times New Roman"/>
          <w:bCs/>
          <w:sz w:val="24"/>
          <w:szCs w:val="24"/>
          <w:vertAlign w:val="subscript"/>
          <w:lang w:val="en-GB"/>
        </w:rPr>
        <w:t xml:space="preserve"> (ads)</w:t>
      </w:r>
      <w:r w:rsidR="00B045C2" w:rsidRPr="00250FF0">
        <w:rPr>
          <w:rFonts w:ascii="Times New Roman" w:hAnsi="Times New Roman"/>
          <w:bCs/>
          <w:sz w:val="24"/>
          <w:szCs w:val="24"/>
          <w:lang w:val="en-GB"/>
        </w:rPr>
        <w:t xml:space="preserve"> constants obtained for R</w:t>
      </w:r>
      <w:r w:rsidR="00E82976" w:rsidRPr="00250FF0">
        <w:rPr>
          <w:rFonts w:ascii="Times New Roman" w:hAnsi="Times New Roman"/>
          <w:bCs/>
          <w:sz w:val="24"/>
          <w:szCs w:val="24"/>
          <w:lang w:val="en-GB"/>
        </w:rPr>
        <w:t xml:space="preserve">egosol </w:t>
      </w:r>
      <w:r w:rsidR="00B045C2" w:rsidRPr="00250FF0">
        <w:rPr>
          <w:rFonts w:ascii="Times New Roman" w:hAnsi="Times New Roman"/>
          <w:bCs/>
          <w:sz w:val="24"/>
          <w:szCs w:val="24"/>
          <w:lang w:val="en-GB"/>
        </w:rPr>
        <w:t>and C</w:t>
      </w:r>
      <w:r w:rsidR="00E82976" w:rsidRPr="00250FF0">
        <w:rPr>
          <w:rFonts w:ascii="Times New Roman" w:hAnsi="Times New Roman"/>
          <w:bCs/>
          <w:sz w:val="24"/>
          <w:szCs w:val="24"/>
          <w:lang w:val="en-GB"/>
        </w:rPr>
        <w:t xml:space="preserve">hernozem </w:t>
      </w:r>
      <w:r w:rsidR="00B16FF4" w:rsidRPr="00250FF0">
        <w:rPr>
          <w:rFonts w:ascii="Times New Roman" w:hAnsi="Times New Roman"/>
          <w:bCs/>
          <w:sz w:val="24"/>
          <w:szCs w:val="24"/>
          <w:lang w:val="en-GB"/>
        </w:rPr>
        <w:t>indicate</w:t>
      </w:r>
      <w:r w:rsidR="00B045C2" w:rsidRPr="00250FF0">
        <w:rPr>
          <w:rFonts w:ascii="Times New Roman" w:hAnsi="Times New Roman"/>
          <w:bCs/>
          <w:sz w:val="24"/>
          <w:szCs w:val="24"/>
          <w:lang w:val="en-GB"/>
        </w:rPr>
        <w:t xml:space="preserve"> that clay take</w:t>
      </w:r>
      <w:r w:rsidR="00B16FF4" w:rsidRPr="00250FF0">
        <w:rPr>
          <w:rFonts w:ascii="Times New Roman" w:hAnsi="Times New Roman"/>
          <w:bCs/>
          <w:sz w:val="24"/>
          <w:szCs w:val="24"/>
          <w:lang w:val="en-GB"/>
        </w:rPr>
        <w:t>s a</w:t>
      </w:r>
      <w:r w:rsidR="00B045C2" w:rsidRPr="00250FF0">
        <w:rPr>
          <w:rFonts w:ascii="Times New Roman" w:hAnsi="Times New Roman"/>
          <w:bCs/>
          <w:sz w:val="24"/>
          <w:szCs w:val="24"/>
          <w:lang w:val="en-GB"/>
        </w:rPr>
        <w:t xml:space="preserve"> certain part in sorption</w:t>
      </w:r>
      <w:r w:rsidR="00B16FF4" w:rsidRPr="00250FF0">
        <w:rPr>
          <w:rFonts w:ascii="Times New Roman" w:hAnsi="Times New Roman"/>
          <w:bCs/>
          <w:sz w:val="24"/>
          <w:szCs w:val="24"/>
          <w:lang w:val="en-GB"/>
        </w:rPr>
        <w:t>,</w:t>
      </w:r>
      <w:r w:rsidR="00B045C2" w:rsidRPr="00250FF0">
        <w:rPr>
          <w:rFonts w:ascii="Times New Roman" w:hAnsi="Times New Roman"/>
          <w:bCs/>
          <w:sz w:val="24"/>
          <w:szCs w:val="24"/>
          <w:lang w:val="en-GB"/>
        </w:rPr>
        <w:t xml:space="preserve"> too. At first, higher clay content in C</w:t>
      </w:r>
      <w:r w:rsidR="00E82976" w:rsidRPr="00250FF0">
        <w:rPr>
          <w:rFonts w:ascii="Times New Roman" w:hAnsi="Times New Roman"/>
          <w:bCs/>
          <w:sz w:val="24"/>
          <w:szCs w:val="24"/>
          <w:lang w:val="en-GB"/>
        </w:rPr>
        <w:t xml:space="preserve">hernozem </w:t>
      </w:r>
      <w:r w:rsidR="00B045C2" w:rsidRPr="00250FF0">
        <w:rPr>
          <w:rFonts w:ascii="Times New Roman" w:hAnsi="Times New Roman"/>
          <w:bCs/>
          <w:sz w:val="24"/>
          <w:szCs w:val="24"/>
          <w:lang w:val="en-GB"/>
        </w:rPr>
        <w:t>(28.9</w:t>
      </w:r>
      <w:r w:rsidR="003406B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B045C2" w:rsidRPr="00250FF0">
        <w:rPr>
          <w:rFonts w:ascii="Times New Roman" w:hAnsi="Times New Roman"/>
          <w:bCs/>
          <w:sz w:val="24"/>
          <w:szCs w:val="24"/>
          <w:lang w:val="en-GB"/>
        </w:rPr>
        <w:t>%)</w:t>
      </w:r>
      <w:r w:rsidR="001B3638" w:rsidRPr="00250FF0">
        <w:rPr>
          <w:rFonts w:ascii="Times New Roman" w:hAnsi="Times New Roman"/>
          <w:bCs/>
          <w:sz w:val="24"/>
          <w:szCs w:val="24"/>
          <w:lang w:val="en-GB"/>
        </w:rPr>
        <w:t>,</w:t>
      </w:r>
      <w:r w:rsidR="00B045C2" w:rsidRPr="00250FF0">
        <w:rPr>
          <w:rFonts w:ascii="Times New Roman" w:hAnsi="Times New Roman"/>
          <w:bCs/>
          <w:sz w:val="24"/>
          <w:szCs w:val="24"/>
          <w:lang w:val="en-GB"/>
        </w:rPr>
        <w:t xml:space="preserve"> compar</w:t>
      </w:r>
      <w:r w:rsidR="001B3638" w:rsidRPr="00250FF0">
        <w:rPr>
          <w:rFonts w:ascii="Times New Roman" w:hAnsi="Times New Roman"/>
          <w:bCs/>
          <w:sz w:val="24"/>
          <w:szCs w:val="24"/>
          <w:lang w:val="en-GB"/>
        </w:rPr>
        <w:t xml:space="preserve">e </w:t>
      </w:r>
      <w:r w:rsidR="00B045C2" w:rsidRPr="00250FF0">
        <w:rPr>
          <w:rFonts w:ascii="Times New Roman" w:hAnsi="Times New Roman"/>
          <w:bCs/>
          <w:sz w:val="24"/>
          <w:szCs w:val="24"/>
          <w:lang w:val="en-GB"/>
        </w:rPr>
        <w:t>to 23.4</w:t>
      </w:r>
      <w:r w:rsidR="003406B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B045C2" w:rsidRPr="00250FF0">
        <w:rPr>
          <w:rFonts w:ascii="Times New Roman" w:hAnsi="Times New Roman"/>
          <w:bCs/>
          <w:sz w:val="24"/>
          <w:szCs w:val="24"/>
          <w:lang w:val="en-GB"/>
        </w:rPr>
        <w:t xml:space="preserve">% in </w:t>
      </w:r>
      <w:r w:rsidR="00E82976" w:rsidRPr="00250FF0">
        <w:rPr>
          <w:rFonts w:ascii="Times New Roman" w:hAnsi="Times New Roman"/>
          <w:bCs/>
          <w:sz w:val="24"/>
          <w:szCs w:val="24"/>
          <w:lang w:val="en-GB"/>
        </w:rPr>
        <w:t>Regosol</w:t>
      </w:r>
      <w:r w:rsidR="00B045C2" w:rsidRPr="00250FF0">
        <w:rPr>
          <w:rFonts w:ascii="Times New Roman" w:hAnsi="Times New Roman"/>
          <w:bCs/>
          <w:sz w:val="24"/>
          <w:szCs w:val="24"/>
          <w:lang w:val="en-GB"/>
        </w:rPr>
        <w:t xml:space="preserve"> (</w:t>
      </w:r>
      <w:r w:rsidR="00B045C2" w:rsidRPr="00250FF0">
        <w:rPr>
          <w:rFonts w:ascii="Times New Roman" w:hAnsi="Times New Roman"/>
          <w:sz w:val="24"/>
          <w:szCs w:val="24"/>
          <w:lang w:val="en-GB"/>
        </w:rPr>
        <w:t xml:space="preserve">Table </w:t>
      </w:r>
      <w:r w:rsidR="00BD345A" w:rsidRPr="00250FF0">
        <w:rPr>
          <w:rFonts w:ascii="Times New Roman" w:hAnsi="Times New Roman"/>
          <w:sz w:val="24"/>
          <w:szCs w:val="24"/>
          <w:lang w:val="en-GB"/>
        </w:rPr>
        <w:t>I</w:t>
      </w:r>
      <w:r w:rsidR="00B045C2" w:rsidRPr="00250FF0">
        <w:rPr>
          <w:rFonts w:ascii="Times New Roman" w:hAnsi="Times New Roman"/>
          <w:sz w:val="24"/>
          <w:szCs w:val="24"/>
          <w:lang w:val="en-GB"/>
        </w:rPr>
        <w:t>)</w:t>
      </w:r>
      <w:r w:rsidR="001B3638" w:rsidRPr="00250FF0">
        <w:rPr>
          <w:rFonts w:ascii="Times New Roman" w:hAnsi="Times New Roman"/>
          <w:sz w:val="24"/>
          <w:szCs w:val="24"/>
          <w:lang w:val="en-GB"/>
        </w:rPr>
        <w:t>,</w:t>
      </w:r>
      <w:r w:rsidR="00B045C2"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B3638" w:rsidRPr="00250FF0">
        <w:rPr>
          <w:rFonts w:ascii="Times New Roman" w:hAnsi="Times New Roman"/>
          <w:sz w:val="24"/>
          <w:szCs w:val="24"/>
          <w:lang w:val="en-GB"/>
        </w:rPr>
        <w:t>was consistent with a somewhat</w:t>
      </w:r>
      <w:r w:rsidR="00B045C2" w:rsidRPr="00250FF0">
        <w:rPr>
          <w:rFonts w:ascii="Times New Roman" w:hAnsi="Times New Roman"/>
          <w:sz w:val="24"/>
          <w:szCs w:val="24"/>
          <w:lang w:val="en-GB"/>
        </w:rPr>
        <w:t xml:space="preserve"> higher </w:t>
      </w:r>
      <w:r w:rsidR="00B045C2" w:rsidRPr="00250FF0">
        <w:rPr>
          <w:rFonts w:ascii="Times New Roman" w:hAnsi="Times New Roman"/>
          <w:bCs/>
          <w:i/>
          <w:sz w:val="24"/>
          <w:szCs w:val="24"/>
          <w:lang w:val="en-GB"/>
        </w:rPr>
        <w:t>K</w:t>
      </w:r>
      <w:r w:rsidR="00B045C2" w:rsidRPr="003406B5">
        <w:rPr>
          <w:rFonts w:ascii="Times New Roman" w:hAnsi="Times New Roman"/>
          <w:bCs/>
          <w:sz w:val="24"/>
          <w:szCs w:val="24"/>
          <w:vertAlign w:val="subscript"/>
          <w:lang w:val="en-GB"/>
        </w:rPr>
        <w:t>OC</w:t>
      </w:r>
      <w:r w:rsidR="009B092B" w:rsidRPr="003406B5">
        <w:rPr>
          <w:rFonts w:ascii="Times New Roman" w:hAnsi="Times New Roman"/>
          <w:bCs/>
          <w:sz w:val="24"/>
          <w:szCs w:val="24"/>
          <w:vertAlign w:val="subscript"/>
          <w:lang w:val="en-GB"/>
        </w:rPr>
        <w:t xml:space="preserve"> (ads)</w:t>
      </w:r>
      <w:r w:rsidR="00B045C2" w:rsidRPr="00250FF0">
        <w:rPr>
          <w:rFonts w:ascii="Times New Roman" w:hAnsi="Times New Roman"/>
          <w:bCs/>
          <w:sz w:val="24"/>
          <w:szCs w:val="24"/>
          <w:lang w:val="en-GB"/>
        </w:rPr>
        <w:t xml:space="preserve"> value obtained for C</w:t>
      </w:r>
      <w:r w:rsidR="00E82976" w:rsidRPr="00250FF0">
        <w:rPr>
          <w:rFonts w:ascii="Times New Roman" w:hAnsi="Times New Roman"/>
          <w:bCs/>
          <w:sz w:val="24"/>
          <w:szCs w:val="24"/>
          <w:lang w:val="en-GB"/>
        </w:rPr>
        <w:t>hernozem</w:t>
      </w:r>
      <w:r w:rsidR="00B045C2" w:rsidRPr="00250FF0">
        <w:rPr>
          <w:rFonts w:ascii="Times New Roman" w:hAnsi="Times New Roman"/>
          <w:bCs/>
          <w:sz w:val="24"/>
          <w:szCs w:val="24"/>
          <w:lang w:val="en-GB"/>
        </w:rPr>
        <w:t>. Additionally, differences in soil mineral composition</w:t>
      </w:r>
      <w:r w:rsidR="001B3638" w:rsidRPr="00250FF0">
        <w:rPr>
          <w:rFonts w:ascii="Times New Roman" w:hAnsi="Times New Roman"/>
          <w:bCs/>
          <w:sz w:val="24"/>
          <w:szCs w:val="24"/>
          <w:lang w:val="en-GB"/>
        </w:rPr>
        <w:t>,</w:t>
      </w:r>
      <w:r w:rsidR="00B045C2" w:rsidRPr="00250FF0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B045C2" w:rsidRPr="00250FF0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="001B3638" w:rsidRPr="00250FF0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B045C2" w:rsidRPr="00250FF0">
        <w:rPr>
          <w:rFonts w:ascii="Times New Roman" w:hAnsi="Times New Roman"/>
          <w:sz w:val="24"/>
          <w:szCs w:val="24"/>
          <w:lang w:val="en-GB"/>
        </w:rPr>
        <w:t>type of phyllosilicates structure in th</w:t>
      </w:r>
      <w:r w:rsidR="004D1A2E" w:rsidRPr="00250FF0">
        <w:rPr>
          <w:rFonts w:ascii="Times New Roman" w:hAnsi="Times New Roman"/>
          <w:sz w:val="24"/>
          <w:szCs w:val="24"/>
          <w:lang w:val="en-GB"/>
        </w:rPr>
        <w:t>o</w:t>
      </w:r>
      <w:r w:rsidR="00B045C2" w:rsidRPr="00250FF0">
        <w:rPr>
          <w:rFonts w:ascii="Times New Roman" w:hAnsi="Times New Roman"/>
          <w:sz w:val="24"/>
          <w:szCs w:val="24"/>
          <w:lang w:val="en-GB"/>
        </w:rPr>
        <w:t>se soil minerals</w:t>
      </w:r>
      <w:r w:rsidR="004D1A2E" w:rsidRPr="00250FF0">
        <w:rPr>
          <w:rFonts w:ascii="Times New Roman" w:hAnsi="Times New Roman"/>
          <w:sz w:val="24"/>
          <w:szCs w:val="24"/>
          <w:lang w:val="en-GB"/>
        </w:rPr>
        <w:t>,</w:t>
      </w:r>
      <w:r w:rsidR="00B045C2"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D1A2E" w:rsidRPr="00250FF0">
        <w:rPr>
          <w:rFonts w:ascii="Times New Roman" w:hAnsi="Times New Roman"/>
          <w:bCs/>
          <w:sz w:val="24"/>
          <w:szCs w:val="24"/>
          <w:lang w:val="en-GB"/>
        </w:rPr>
        <w:t>indicate their</w:t>
      </w:r>
      <w:r w:rsidR="00B045C2" w:rsidRPr="00250FF0">
        <w:rPr>
          <w:rFonts w:ascii="Times New Roman" w:hAnsi="Times New Roman"/>
          <w:bCs/>
          <w:sz w:val="24"/>
          <w:szCs w:val="24"/>
          <w:lang w:val="en-GB"/>
        </w:rPr>
        <w:t xml:space="preserve"> different participation in clomazone sorption. Generally, it should be assumed that the </w:t>
      </w:r>
      <w:r w:rsidR="00B045C2" w:rsidRPr="00250FF0">
        <w:rPr>
          <w:rFonts w:ascii="Times New Roman" w:hAnsi="Times New Roman"/>
          <w:sz w:val="24"/>
          <w:szCs w:val="24"/>
          <w:lang w:val="en-GB"/>
        </w:rPr>
        <w:t xml:space="preserve">layered structure of the 2:1 phyllosilicates </w:t>
      </w:r>
      <w:r w:rsidR="00E77296" w:rsidRPr="00250FF0">
        <w:rPr>
          <w:rFonts w:ascii="Times New Roman" w:hAnsi="Times New Roman"/>
          <w:sz w:val="24"/>
          <w:szCs w:val="24"/>
          <w:lang w:val="en-GB"/>
        </w:rPr>
        <w:t xml:space="preserve">type </w:t>
      </w:r>
      <w:r w:rsidR="00B045C2" w:rsidRPr="00250FF0">
        <w:rPr>
          <w:rFonts w:ascii="Times New Roman" w:hAnsi="Times New Roman"/>
          <w:sz w:val="24"/>
          <w:szCs w:val="24"/>
          <w:lang w:val="en-GB"/>
        </w:rPr>
        <w:t xml:space="preserve">present in </w:t>
      </w:r>
      <w:proofErr w:type="spellStart"/>
      <w:r w:rsidR="00B045C2" w:rsidRPr="00250FF0">
        <w:rPr>
          <w:rFonts w:ascii="Times New Roman" w:hAnsi="Times New Roman"/>
          <w:sz w:val="24"/>
          <w:szCs w:val="24"/>
          <w:lang w:val="en-GB"/>
        </w:rPr>
        <w:t>illite</w:t>
      </w:r>
      <w:proofErr w:type="spellEnd"/>
      <w:r w:rsidR="00B045C2" w:rsidRPr="00250FF0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E82976" w:rsidRPr="00250FF0">
        <w:rPr>
          <w:rFonts w:ascii="Times New Roman" w:hAnsi="Times New Roman"/>
          <w:sz w:val="24"/>
          <w:szCs w:val="24"/>
          <w:lang w:val="en-GB"/>
        </w:rPr>
        <w:t>Chernozem</w:t>
      </w:r>
      <w:r w:rsidR="00B045C2" w:rsidRPr="00250FF0">
        <w:rPr>
          <w:rFonts w:ascii="Times New Roman" w:hAnsi="Times New Roman"/>
          <w:sz w:val="24"/>
          <w:szCs w:val="24"/>
          <w:lang w:val="en-GB"/>
        </w:rPr>
        <w:t>) has a greater internal and external porosity, and a larger specific surface area,</w:t>
      </w:r>
      <w:r w:rsidR="00E77296" w:rsidRPr="00250FF0">
        <w:rPr>
          <w:rFonts w:ascii="Times New Roman" w:hAnsi="Times New Roman"/>
          <w:sz w:val="24"/>
          <w:szCs w:val="24"/>
          <w:lang w:val="en-GB"/>
        </w:rPr>
        <w:t xml:space="preserve"> so </w:t>
      </w:r>
      <w:r w:rsidR="004D1A2E" w:rsidRPr="00250FF0">
        <w:rPr>
          <w:rFonts w:ascii="Times New Roman" w:hAnsi="Times New Roman"/>
          <w:sz w:val="24"/>
          <w:szCs w:val="24"/>
          <w:lang w:val="en-GB"/>
        </w:rPr>
        <w:t xml:space="preserve">that </w:t>
      </w:r>
      <w:r w:rsidR="00B045C2" w:rsidRPr="00250FF0">
        <w:rPr>
          <w:rFonts w:ascii="Times New Roman" w:hAnsi="Times New Roman"/>
          <w:sz w:val="24"/>
          <w:szCs w:val="24"/>
          <w:lang w:val="en-GB"/>
        </w:rPr>
        <w:t>the interlayer space of this mineral provides a greater possibility for clomazone molecules movement in contrast to kaolinite as</w:t>
      </w:r>
      <w:r w:rsidR="004D1A2E" w:rsidRPr="00250FF0">
        <w:rPr>
          <w:rFonts w:ascii="Times New Roman" w:hAnsi="Times New Roman"/>
          <w:sz w:val="24"/>
          <w:szCs w:val="24"/>
          <w:lang w:val="en-GB"/>
        </w:rPr>
        <w:t xml:space="preserve"> the</w:t>
      </w:r>
      <w:r w:rsidR="00B045C2" w:rsidRPr="00250FF0">
        <w:rPr>
          <w:rFonts w:ascii="Times New Roman" w:hAnsi="Times New Roman"/>
          <w:sz w:val="24"/>
          <w:szCs w:val="24"/>
          <w:lang w:val="en-GB"/>
        </w:rPr>
        <w:t xml:space="preserve"> 1:1 type </w:t>
      </w:r>
      <w:r w:rsidR="004D1A2E" w:rsidRPr="00250FF0">
        <w:rPr>
          <w:rFonts w:ascii="Times New Roman" w:hAnsi="Times New Roman"/>
          <w:sz w:val="24"/>
          <w:szCs w:val="24"/>
          <w:lang w:val="en-GB"/>
        </w:rPr>
        <w:t xml:space="preserve">of </w:t>
      </w:r>
      <w:r w:rsidR="00B045C2" w:rsidRPr="00250FF0">
        <w:rPr>
          <w:rFonts w:ascii="Times New Roman" w:hAnsi="Times New Roman"/>
          <w:sz w:val="24"/>
          <w:szCs w:val="24"/>
          <w:lang w:val="en-GB"/>
        </w:rPr>
        <w:t>phyllosilicate</w:t>
      </w:r>
      <w:r w:rsidR="004D1A2E" w:rsidRPr="00250FF0">
        <w:rPr>
          <w:rFonts w:ascii="Times New Roman" w:hAnsi="Times New Roman"/>
          <w:sz w:val="24"/>
          <w:szCs w:val="24"/>
          <w:lang w:val="en-GB"/>
        </w:rPr>
        <w:t>s,</w:t>
      </w:r>
      <w:r w:rsidR="00B045C2" w:rsidRPr="00250FF0">
        <w:rPr>
          <w:rFonts w:ascii="Times New Roman" w:hAnsi="Times New Roman"/>
          <w:sz w:val="24"/>
          <w:szCs w:val="24"/>
          <w:lang w:val="en-GB"/>
        </w:rPr>
        <w:t xml:space="preserve"> which is dominant in Regosol.</w:t>
      </w:r>
    </w:p>
    <w:p w14:paraId="603219F1" w14:textId="25A685CD" w:rsidR="00F368FE" w:rsidRPr="00250FF0" w:rsidRDefault="00F368FE" w:rsidP="004A252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50FF0">
        <w:rPr>
          <w:rFonts w:ascii="Times New Roman" w:hAnsi="Times New Roman"/>
          <w:sz w:val="24"/>
          <w:szCs w:val="24"/>
          <w:lang w:val="en-GB"/>
        </w:rPr>
        <w:lastRenderedPageBreak/>
        <w:t xml:space="preserve">A comparison of our results with literature data revealed a considerable consistency. Unfortunately, the </w:t>
      </w:r>
      <w:r w:rsidR="004D1A2E" w:rsidRPr="00250FF0">
        <w:rPr>
          <w:rFonts w:ascii="Times New Roman" w:hAnsi="Times New Roman"/>
          <w:sz w:val="24"/>
          <w:szCs w:val="24"/>
          <w:lang w:val="en-GB"/>
        </w:rPr>
        <w:t xml:space="preserve">reference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data mainly relate to soils </w:t>
      </w:r>
      <w:r w:rsidR="004D1A2E" w:rsidRPr="00250FF0">
        <w:rPr>
          <w:rFonts w:ascii="Times New Roman" w:hAnsi="Times New Roman"/>
          <w:sz w:val="24"/>
          <w:szCs w:val="24"/>
          <w:lang w:val="en-GB"/>
        </w:rPr>
        <w:t>in rice fields</w:t>
      </w:r>
      <w:r w:rsidRPr="00250FF0">
        <w:rPr>
          <w:rFonts w:ascii="Times New Roman" w:hAnsi="Times New Roman"/>
          <w:sz w:val="24"/>
          <w:szCs w:val="24"/>
          <w:lang w:val="en-GB"/>
        </w:rPr>
        <w:t>, and originat</w:t>
      </w:r>
      <w:r w:rsidR="004D1A2E" w:rsidRPr="00250FF0">
        <w:rPr>
          <w:rFonts w:ascii="Times New Roman" w:hAnsi="Times New Roman"/>
          <w:sz w:val="24"/>
          <w:szCs w:val="24"/>
          <w:lang w:val="en-GB"/>
        </w:rPr>
        <w:t>ing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either from </w:t>
      </w:r>
      <w:r w:rsidR="004D1A2E" w:rsidRPr="00250FF0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250FF0">
        <w:rPr>
          <w:rFonts w:ascii="Times New Roman" w:hAnsi="Times New Roman"/>
          <w:sz w:val="24"/>
          <w:szCs w:val="24"/>
          <w:lang w:val="en-GB"/>
        </w:rPr>
        <w:t>USA or China</w:t>
      </w:r>
      <w:proofErr w:type="gramStart"/>
      <w:r w:rsidRPr="00250FF0">
        <w:rPr>
          <w:rFonts w:ascii="Times New Roman" w:hAnsi="Times New Roman"/>
          <w:sz w:val="24"/>
          <w:szCs w:val="24"/>
          <w:lang w:val="en-GB"/>
        </w:rPr>
        <w:t>,</w:t>
      </w:r>
      <w:r w:rsidR="00964AC2" w:rsidRPr="00250FF0">
        <w:rPr>
          <w:rFonts w:ascii="Times New Roman" w:hAnsi="Times New Roman"/>
          <w:sz w:val="24"/>
          <w:szCs w:val="24"/>
          <w:vertAlign w:val="superscript"/>
          <w:lang w:val="en-GB"/>
        </w:rPr>
        <w:t>6</w:t>
      </w:r>
      <w:proofErr w:type="gramEnd"/>
      <w:r w:rsidR="00964AC2" w:rsidRPr="00250FF0">
        <w:rPr>
          <w:rFonts w:ascii="Times New Roman" w:hAnsi="Times New Roman"/>
          <w:sz w:val="24"/>
          <w:szCs w:val="24"/>
          <w:vertAlign w:val="superscript"/>
          <w:lang w:val="en-GB"/>
        </w:rPr>
        <w:t>-9</w:t>
      </w:r>
      <w:r w:rsidR="00A5293B" w:rsidRPr="00250FF0">
        <w:rPr>
          <w:rFonts w:ascii="Times New Roman" w:hAnsi="Times New Roman"/>
          <w:sz w:val="24"/>
          <w:szCs w:val="24"/>
          <w:vertAlign w:val="superscript"/>
          <w:lang w:val="en-GB"/>
        </w:rPr>
        <w:t>,18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so </w:t>
      </w:r>
      <w:r w:rsidR="00790088" w:rsidRPr="00250FF0">
        <w:rPr>
          <w:rFonts w:ascii="Times New Roman" w:hAnsi="Times New Roman"/>
          <w:sz w:val="24"/>
          <w:szCs w:val="24"/>
          <w:lang w:val="en-GB"/>
        </w:rPr>
        <w:t xml:space="preserve">that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some discrepancies between our </w:t>
      </w:r>
      <w:r w:rsidR="00790088" w:rsidRPr="00250FF0">
        <w:rPr>
          <w:rFonts w:ascii="Times New Roman" w:hAnsi="Times New Roman"/>
          <w:sz w:val="24"/>
          <w:szCs w:val="24"/>
          <w:lang w:val="en-GB"/>
        </w:rPr>
        <w:t xml:space="preserve">present </w:t>
      </w:r>
      <w:r w:rsidRPr="00250FF0">
        <w:rPr>
          <w:rFonts w:ascii="Times New Roman" w:hAnsi="Times New Roman"/>
          <w:sz w:val="24"/>
          <w:szCs w:val="24"/>
          <w:lang w:val="en-GB"/>
        </w:rPr>
        <w:t>and published data are not surprising. Thus</w:t>
      </w:r>
      <w:r w:rsidR="00FB7032" w:rsidRPr="00250FF0">
        <w:rPr>
          <w:rFonts w:ascii="Times New Roman" w:hAnsi="Times New Roman"/>
          <w:sz w:val="24"/>
          <w:szCs w:val="24"/>
          <w:lang w:val="en-GB"/>
        </w:rPr>
        <w:t>,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for example</w:t>
      </w:r>
      <w:r w:rsidR="00FB7032" w:rsidRPr="00250FF0">
        <w:rPr>
          <w:rFonts w:ascii="Times New Roman" w:hAnsi="Times New Roman"/>
          <w:sz w:val="24"/>
          <w:szCs w:val="24"/>
          <w:lang w:val="en-GB"/>
        </w:rPr>
        <w:t>,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62B55" w:rsidRPr="00250FF0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L-type of clomazone sorption isotherm </w:t>
      </w:r>
      <w:r w:rsidR="00562B55" w:rsidRPr="00250FF0">
        <w:rPr>
          <w:rFonts w:ascii="Times New Roman" w:hAnsi="Times New Roman"/>
          <w:sz w:val="24"/>
          <w:szCs w:val="24"/>
          <w:lang w:val="en-GB"/>
        </w:rPr>
        <w:t>has been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reported</w:t>
      </w:r>
      <w:r w:rsidR="00562B55" w:rsidRPr="00250FF0">
        <w:rPr>
          <w:rFonts w:ascii="Times New Roman" w:hAnsi="Times New Roman"/>
          <w:sz w:val="24"/>
          <w:szCs w:val="24"/>
          <w:lang w:val="en-GB"/>
        </w:rPr>
        <w:t xml:space="preserve"> in most studies</w:t>
      </w:r>
      <w:r w:rsidR="00490CD5" w:rsidRPr="00250FF0">
        <w:rPr>
          <w:rFonts w:ascii="Times New Roman" w:hAnsi="Times New Roman"/>
          <w:sz w:val="24"/>
          <w:szCs w:val="24"/>
          <w:vertAlign w:val="superscript"/>
          <w:lang w:val="en-GB"/>
        </w:rPr>
        <w:t>6</w:t>
      </w:r>
      <w:proofErr w:type="gramStart"/>
      <w:r w:rsidR="00490CD5" w:rsidRPr="00250FF0">
        <w:rPr>
          <w:rFonts w:ascii="Times New Roman" w:hAnsi="Times New Roman"/>
          <w:sz w:val="24"/>
          <w:szCs w:val="24"/>
          <w:vertAlign w:val="superscript"/>
          <w:lang w:val="en-GB"/>
        </w:rPr>
        <w:t>,8,9,18</w:t>
      </w:r>
      <w:proofErr w:type="gramEnd"/>
      <w:r w:rsidR="00562B55" w:rsidRPr="00250FF0">
        <w:rPr>
          <w:rFonts w:ascii="Times New Roman" w:hAnsi="Times New Roman"/>
          <w:sz w:val="24"/>
          <w:szCs w:val="24"/>
          <w:lang w:val="en-GB"/>
        </w:rPr>
        <w:t>,</w:t>
      </w:r>
      <w:r w:rsidR="00490CD5"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62B55" w:rsidRPr="00250FF0">
        <w:rPr>
          <w:rFonts w:ascii="Times New Roman" w:hAnsi="Times New Roman"/>
          <w:sz w:val="24"/>
          <w:szCs w:val="24"/>
          <w:lang w:val="en-GB"/>
        </w:rPr>
        <w:t>while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in some of them the obtained </w:t>
      </w:r>
      <w:proofErr w:type="spellStart"/>
      <w:r w:rsidRPr="00250FF0">
        <w:rPr>
          <w:rFonts w:ascii="Times New Roman" w:hAnsi="Times New Roman"/>
          <w:i/>
          <w:sz w:val="24"/>
          <w:szCs w:val="24"/>
          <w:lang w:val="en-GB"/>
        </w:rPr>
        <w:t>K</w:t>
      </w:r>
      <w:r w:rsidRPr="003406B5">
        <w:rPr>
          <w:rFonts w:ascii="Times New Roman" w:hAnsi="Times New Roman"/>
          <w:sz w:val="24"/>
          <w:szCs w:val="24"/>
          <w:vertAlign w:val="subscript"/>
          <w:lang w:val="en-GB"/>
        </w:rPr>
        <w:t>d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values were higher than our findings</w:t>
      </w:r>
      <w:r w:rsidR="00490CD5" w:rsidRPr="00250FF0">
        <w:rPr>
          <w:rFonts w:ascii="Times New Roman" w:hAnsi="Times New Roman"/>
          <w:sz w:val="24"/>
          <w:szCs w:val="24"/>
          <w:vertAlign w:val="superscript"/>
          <w:lang w:val="en-GB"/>
        </w:rPr>
        <w:t>6,8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. However, all </w:t>
      </w:r>
      <w:r w:rsidR="00562B55" w:rsidRPr="00250FF0">
        <w:rPr>
          <w:rFonts w:ascii="Times New Roman" w:hAnsi="Times New Roman"/>
          <w:sz w:val="24"/>
          <w:szCs w:val="24"/>
          <w:lang w:val="en-GB"/>
        </w:rPr>
        <w:t>studies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agree</w:t>
      </w:r>
      <w:r w:rsidR="00562B55" w:rsidRPr="00250FF0">
        <w:rPr>
          <w:rFonts w:ascii="Times New Roman" w:hAnsi="Times New Roman"/>
          <w:sz w:val="24"/>
          <w:szCs w:val="24"/>
          <w:lang w:val="en-GB"/>
        </w:rPr>
        <w:t>d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that organic matter is </w:t>
      </w:r>
      <w:r w:rsidR="00562B55" w:rsidRPr="00250FF0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soil fraction that predominantly participates in </w:t>
      </w:r>
      <w:r w:rsidR="00562B55" w:rsidRPr="00250FF0">
        <w:rPr>
          <w:rFonts w:ascii="Times New Roman" w:hAnsi="Times New Roman"/>
          <w:sz w:val="24"/>
          <w:szCs w:val="24"/>
          <w:lang w:val="en-GB"/>
        </w:rPr>
        <w:t xml:space="preserve">clomazone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adsorption. </w:t>
      </w:r>
    </w:p>
    <w:p w14:paraId="7D1A171A" w14:textId="77777777" w:rsidR="00C043D9" w:rsidRPr="00250FF0" w:rsidRDefault="00C043D9" w:rsidP="004A252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CF53781" w14:textId="77777777" w:rsidR="00C043D9" w:rsidRPr="00250FF0" w:rsidRDefault="00C043D9" w:rsidP="004A252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250FF0">
        <w:rPr>
          <w:rFonts w:ascii="Times New Roman" w:hAnsi="Times New Roman"/>
          <w:i/>
          <w:sz w:val="24"/>
          <w:szCs w:val="24"/>
          <w:lang w:val="en-GB"/>
        </w:rPr>
        <w:t>Desorption studies</w:t>
      </w:r>
    </w:p>
    <w:p w14:paraId="165F41D5" w14:textId="77777777" w:rsidR="00C043D9" w:rsidRPr="00250FF0" w:rsidRDefault="00C043D9" w:rsidP="004A252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F6D467E" w14:textId="77777777" w:rsidR="004A2529" w:rsidRPr="00250FF0" w:rsidRDefault="004A2529" w:rsidP="004A2529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250FF0">
        <w:rPr>
          <w:rStyle w:val="longtext"/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Desorption isotherms 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of clomazone </w:t>
      </w:r>
      <w:r w:rsidR="00AB7CD0" w:rsidRPr="00250FF0">
        <w:rPr>
          <w:rFonts w:ascii="Times New Roman" w:hAnsi="Times New Roman"/>
          <w:bCs/>
          <w:sz w:val="24"/>
          <w:szCs w:val="24"/>
          <w:lang w:val="en-GB"/>
        </w:rPr>
        <w:t>for the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two agricultural soils were presented in </w:t>
      </w:r>
      <w:r w:rsidR="00AB7CD0" w:rsidRPr="00250FF0">
        <w:rPr>
          <w:rFonts w:ascii="Times New Roman" w:hAnsi="Times New Roman"/>
          <w:bCs/>
          <w:sz w:val="24"/>
          <w:szCs w:val="24"/>
          <w:lang w:val="en-GB"/>
        </w:rPr>
        <w:t xml:space="preserve">a 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log-log scale (Fig. 2), while the obtained </w:t>
      </w:r>
      <w:proofErr w:type="spellStart"/>
      <w:r w:rsidRPr="00250FF0">
        <w:rPr>
          <w:rFonts w:ascii="Times New Roman" w:hAnsi="Times New Roman"/>
          <w:bCs/>
          <w:sz w:val="24"/>
          <w:szCs w:val="24"/>
          <w:lang w:val="en-GB"/>
        </w:rPr>
        <w:t>Freundlich</w:t>
      </w:r>
      <w:proofErr w:type="spellEnd"/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desorption parameters were listed in Tables III and IV. </w:t>
      </w:r>
    </w:p>
    <w:p w14:paraId="7E363FDD" w14:textId="6D8C15B8" w:rsidR="00E77296" w:rsidRPr="00F8380D" w:rsidRDefault="00B94E53" w:rsidP="00F46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noProof/>
          <w:sz w:val="24"/>
          <w:szCs w:val="24"/>
          <w:lang w:val="sr-Latn-RS" w:eastAsia="sr-Latn-RS"/>
        </w:rPr>
        <w:drawing>
          <wp:inline distT="0" distB="0" distL="0" distR="0" wp14:anchorId="38FAE43B" wp14:editId="3A0628D7">
            <wp:extent cx="3236976" cy="249936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2A.tif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976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CF74D" w14:textId="56E225F3" w:rsidR="00416801" w:rsidRPr="00F8380D" w:rsidRDefault="00B94E53" w:rsidP="00F46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noProof/>
          <w:sz w:val="24"/>
          <w:szCs w:val="24"/>
          <w:lang w:val="sr-Latn-RS" w:eastAsia="sr-Latn-RS"/>
        </w:rPr>
        <w:drawing>
          <wp:inline distT="0" distB="0" distL="0" distR="0" wp14:anchorId="33D972C7" wp14:editId="19B76247">
            <wp:extent cx="3236976" cy="249936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2B.tif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976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7FBBE" w14:textId="77777777" w:rsidR="00F46C56" w:rsidRPr="00250FF0" w:rsidRDefault="00BA49AB" w:rsidP="00F46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val="en-GB"/>
        </w:rPr>
      </w:pPr>
      <w:proofErr w:type="gramStart"/>
      <w:r w:rsidRPr="00250FF0">
        <w:rPr>
          <w:rFonts w:ascii="Times New Roman" w:hAnsi="Times New Roman"/>
          <w:bCs/>
          <w:sz w:val="24"/>
          <w:szCs w:val="24"/>
          <w:lang w:val="en-GB"/>
        </w:rPr>
        <w:t>Fig.</w:t>
      </w:r>
      <w:r w:rsidR="00F46C56" w:rsidRPr="00250FF0">
        <w:rPr>
          <w:rFonts w:ascii="Times New Roman" w:hAnsi="Times New Roman"/>
          <w:bCs/>
          <w:sz w:val="24"/>
          <w:szCs w:val="24"/>
          <w:lang w:val="en-GB"/>
        </w:rPr>
        <w:t xml:space="preserve"> 2.</w:t>
      </w:r>
      <w:proofErr w:type="gramEnd"/>
      <w:r w:rsidR="00F46C56" w:rsidRPr="00250FF0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F46C56" w:rsidRPr="00250FF0">
        <w:rPr>
          <w:rFonts w:ascii="Times New Roman" w:hAnsi="Times New Roman"/>
          <w:sz w:val="24"/>
          <w:szCs w:val="24"/>
          <w:lang w:val="en-GB"/>
        </w:rPr>
        <w:t xml:space="preserve">Adsorption-desorption isotherms of clomazone </w:t>
      </w:r>
      <w:r w:rsidR="00B20DA9" w:rsidRPr="00250FF0">
        <w:rPr>
          <w:rFonts w:ascii="Times New Roman" w:hAnsi="Times New Roman"/>
          <w:sz w:val="24"/>
          <w:szCs w:val="24"/>
          <w:lang w:val="en-GB"/>
        </w:rPr>
        <w:t>in</w:t>
      </w:r>
      <w:r w:rsidR="00F46C56" w:rsidRPr="00250FF0">
        <w:rPr>
          <w:rFonts w:ascii="Times New Roman" w:hAnsi="Times New Roman"/>
          <w:sz w:val="24"/>
          <w:szCs w:val="24"/>
          <w:lang w:val="en-GB"/>
        </w:rPr>
        <w:t xml:space="preserve"> two Serbian agricultural soils</w:t>
      </w:r>
      <w:r w:rsidR="00416801" w:rsidRPr="00250FF0">
        <w:rPr>
          <w:rFonts w:ascii="Times New Roman" w:hAnsi="Times New Roman"/>
          <w:sz w:val="24"/>
          <w:szCs w:val="24"/>
          <w:lang w:val="en-GB"/>
        </w:rPr>
        <w:t>: (■)</w:t>
      </w:r>
      <w:r w:rsidR="001C36ED"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C36ED" w:rsidRPr="00250FF0">
        <w:rPr>
          <w:rFonts w:ascii="Times New Roman" w:hAnsi="Times New Roman"/>
          <w:sz w:val="24"/>
          <w:szCs w:val="24"/>
          <w:lang w:val="en-GB"/>
        </w:rPr>
        <w:lastRenderedPageBreak/>
        <w:t>adsorption; (</w:t>
      </w:r>
      <w:r w:rsidR="00416801" w:rsidRPr="00250FF0">
        <w:rPr>
          <w:rFonts w:ascii="Times New Roman" w:hAnsi="Times New Roman"/>
          <w:sz w:val="24"/>
          <w:szCs w:val="24"/>
          <w:lang w:val="en-GB"/>
        </w:rPr>
        <w:t>○</w:t>
      </w:r>
      <w:r w:rsidR="001C36ED" w:rsidRPr="00250FF0">
        <w:rPr>
          <w:rFonts w:ascii="Times New Roman" w:hAnsi="Times New Roman"/>
          <w:sz w:val="24"/>
          <w:szCs w:val="24"/>
          <w:lang w:val="en-GB"/>
        </w:rPr>
        <w:t xml:space="preserve">) desorption for </w:t>
      </w:r>
      <w:r w:rsidR="001C36ED" w:rsidRPr="00250FF0">
        <w:rPr>
          <w:rFonts w:ascii="Times New Roman" w:eastAsia="TimesNewRomanPSMT" w:hAnsi="Times New Roman"/>
          <w:sz w:val="24"/>
          <w:szCs w:val="24"/>
          <w:lang w:val="en-GB"/>
        </w:rPr>
        <w:t>1.5 mg dm</w:t>
      </w:r>
      <w:r w:rsidR="001C36ED" w:rsidRPr="00250FF0">
        <w:rPr>
          <w:rFonts w:ascii="Times New Roman" w:eastAsia="TimesNewRomanPSMT" w:hAnsi="Times New Roman"/>
          <w:sz w:val="24"/>
          <w:szCs w:val="24"/>
          <w:vertAlign w:val="superscript"/>
          <w:lang w:val="en-GB"/>
        </w:rPr>
        <w:t>-3</w:t>
      </w:r>
      <w:r w:rsidR="001C36ED" w:rsidRPr="00250FF0">
        <w:rPr>
          <w:rFonts w:ascii="Times New Roman" w:eastAsia="TimesNewRomanPSMT" w:hAnsi="Times New Roman"/>
          <w:sz w:val="24"/>
          <w:szCs w:val="24"/>
          <w:lang w:val="en-GB"/>
        </w:rPr>
        <w:t>; (</w:t>
      </w:r>
      <w:r w:rsidR="00416801" w:rsidRPr="00250FF0">
        <w:rPr>
          <w:rFonts w:ascii="Times New Roman" w:hAnsi="Times New Roman"/>
          <w:sz w:val="24"/>
          <w:szCs w:val="24"/>
          <w:lang w:val="en-GB"/>
        </w:rPr>
        <w:t>□</w:t>
      </w:r>
      <w:r w:rsidR="001C36ED" w:rsidRPr="00250FF0">
        <w:rPr>
          <w:rFonts w:ascii="Times New Roman" w:hAnsi="Times New Roman"/>
          <w:sz w:val="24"/>
          <w:szCs w:val="24"/>
          <w:lang w:val="en-GB"/>
        </w:rPr>
        <w:t>) desorption for 6</w:t>
      </w:r>
      <w:r w:rsidR="001C36ED"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 mg dm</w:t>
      </w:r>
      <w:r w:rsidR="001C36ED" w:rsidRPr="00250FF0">
        <w:rPr>
          <w:rFonts w:ascii="Times New Roman" w:eastAsia="TimesNewRomanPSMT" w:hAnsi="Times New Roman"/>
          <w:sz w:val="24"/>
          <w:szCs w:val="24"/>
          <w:vertAlign w:val="superscript"/>
          <w:lang w:val="en-GB"/>
        </w:rPr>
        <w:t>-3</w:t>
      </w:r>
      <w:r w:rsidR="001C36ED" w:rsidRPr="00250FF0">
        <w:rPr>
          <w:rFonts w:ascii="Times New Roman" w:eastAsia="TimesNewRomanPSMT" w:hAnsi="Times New Roman"/>
          <w:sz w:val="24"/>
          <w:szCs w:val="24"/>
          <w:lang w:val="en-GB"/>
        </w:rPr>
        <w:t>; (</w:t>
      </w:r>
      <w:r w:rsidR="00416801" w:rsidRPr="00250FF0">
        <w:rPr>
          <w:rFonts w:ascii="Times New Roman" w:hAnsi="Times New Roman"/>
          <w:sz w:val="24"/>
          <w:szCs w:val="24"/>
          <w:lang w:val="en-GB"/>
        </w:rPr>
        <w:t>∆</w:t>
      </w:r>
      <w:r w:rsidR="001C36ED" w:rsidRPr="00250FF0">
        <w:rPr>
          <w:rFonts w:ascii="Times New Roman" w:hAnsi="Times New Roman"/>
          <w:sz w:val="24"/>
          <w:szCs w:val="24"/>
          <w:lang w:val="en-GB"/>
        </w:rPr>
        <w:t xml:space="preserve">) desorption for </w:t>
      </w:r>
      <w:r w:rsidR="001C36ED" w:rsidRPr="00250FF0">
        <w:rPr>
          <w:rFonts w:ascii="Times New Roman" w:eastAsia="TimesNewRomanPSMT" w:hAnsi="Times New Roman"/>
          <w:sz w:val="24"/>
          <w:szCs w:val="24"/>
          <w:lang w:val="en-GB"/>
        </w:rPr>
        <w:t>15 mg dm</w:t>
      </w:r>
      <w:r w:rsidR="001C36ED" w:rsidRPr="00250FF0">
        <w:rPr>
          <w:rFonts w:ascii="Times New Roman" w:eastAsia="TimesNewRomanPSMT" w:hAnsi="Times New Roman"/>
          <w:sz w:val="24"/>
          <w:szCs w:val="24"/>
          <w:vertAlign w:val="superscript"/>
          <w:lang w:val="en-GB"/>
        </w:rPr>
        <w:t>-3</w:t>
      </w:r>
    </w:p>
    <w:p w14:paraId="19B19FC4" w14:textId="77777777" w:rsidR="00DE4FF3" w:rsidRPr="00250FF0" w:rsidRDefault="00DE4FF3" w:rsidP="00F46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val="en-GB"/>
        </w:rPr>
      </w:pPr>
    </w:p>
    <w:p w14:paraId="4E4AD06F" w14:textId="77777777" w:rsidR="00B67FC2" w:rsidRPr="00250FF0" w:rsidRDefault="00B67FC2" w:rsidP="00B67FC2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proofErr w:type="gramStart"/>
      <w:r w:rsidRPr="00250FF0">
        <w:rPr>
          <w:rFonts w:ascii="Times New Roman" w:hAnsi="Times New Roman"/>
          <w:bCs/>
          <w:sz w:val="24"/>
          <w:szCs w:val="24"/>
          <w:lang w:val="en-GB"/>
        </w:rPr>
        <w:t>TABLE III.</w:t>
      </w:r>
      <w:proofErr w:type="gramEnd"/>
      <w:r w:rsidRPr="00250FF0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bCs/>
          <w:sz w:val="24"/>
          <w:szCs w:val="24"/>
          <w:lang w:val="en-GB"/>
        </w:rPr>
        <w:t>Freundlich</w:t>
      </w:r>
      <w:proofErr w:type="spellEnd"/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parameters</w:t>
      </w:r>
      <w:r w:rsidR="00F912CA" w:rsidRPr="00250FF0">
        <w:rPr>
          <w:rFonts w:ascii="Times New Roman" w:hAnsi="Times New Roman"/>
          <w:bCs/>
          <w:sz w:val="24"/>
          <w:szCs w:val="24"/>
          <w:lang w:val="en-GB"/>
        </w:rPr>
        <w:t>, hysteresis coefficients (</w:t>
      </w:r>
      <w:r w:rsidR="00F912CA" w:rsidRPr="00250FF0">
        <w:rPr>
          <w:rFonts w:ascii="Times New Roman" w:hAnsi="Times New Roman"/>
          <w:bCs/>
          <w:i/>
          <w:sz w:val="24"/>
          <w:szCs w:val="24"/>
          <w:lang w:val="en-GB"/>
        </w:rPr>
        <w:t>H</w:t>
      </w:r>
      <w:r w:rsidR="00F912CA" w:rsidRPr="00250FF0">
        <w:rPr>
          <w:rFonts w:ascii="Times New Roman" w:hAnsi="Times New Roman"/>
          <w:bCs/>
          <w:sz w:val="24"/>
          <w:szCs w:val="24"/>
          <w:lang w:val="en-GB"/>
        </w:rPr>
        <w:t xml:space="preserve">) and </w:t>
      </w:r>
      <w:r w:rsidR="00F912CA" w:rsidRPr="00250FF0">
        <w:rPr>
          <w:rFonts w:ascii="Times New Roman" w:hAnsi="Times New Roman"/>
          <w:sz w:val="24"/>
          <w:szCs w:val="24"/>
          <w:lang w:val="en-GB"/>
        </w:rPr>
        <w:t>desorption percentages (</w:t>
      </w:r>
      <w:r w:rsidR="00F912CA" w:rsidRPr="00250FF0">
        <w:rPr>
          <w:rFonts w:ascii="Times New Roman" w:hAnsi="Times New Roman"/>
          <w:i/>
          <w:sz w:val="24"/>
          <w:szCs w:val="24"/>
          <w:lang w:val="en-GB"/>
        </w:rPr>
        <w:t>D</w:t>
      </w:r>
      <w:r w:rsidR="00F912CA" w:rsidRPr="00250FF0">
        <w:rPr>
          <w:rFonts w:ascii="Times New Roman" w:hAnsi="Times New Roman"/>
          <w:sz w:val="24"/>
          <w:szCs w:val="24"/>
          <w:lang w:val="en-GB"/>
        </w:rPr>
        <w:t xml:space="preserve">) </w:t>
      </w:r>
      <w:r w:rsidR="00F912CA" w:rsidRPr="00250FF0">
        <w:rPr>
          <w:rFonts w:ascii="Times New Roman" w:hAnsi="Times New Roman"/>
          <w:bCs/>
          <w:sz w:val="24"/>
          <w:szCs w:val="24"/>
          <w:lang w:val="en-GB"/>
        </w:rPr>
        <w:t xml:space="preserve">for </w:t>
      </w:r>
      <w:r w:rsidR="00404534" w:rsidRPr="00250FF0">
        <w:rPr>
          <w:rFonts w:ascii="Times New Roman" w:hAnsi="Times New Roman"/>
          <w:bCs/>
          <w:sz w:val="24"/>
          <w:szCs w:val="24"/>
          <w:lang w:val="en-GB"/>
        </w:rPr>
        <w:t xml:space="preserve">clomazone </w:t>
      </w:r>
      <w:r w:rsidR="00F912CA" w:rsidRPr="00250FF0">
        <w:rPr>
          <w:rFonts w:ascii="Times New Roman" w:hAnsi="Times New Roman"/>
          <w:bCs/>
          <w:sz w:val="24"/>
          <w:szCs w:val="24"/>
          <w:lang w:val="en-GB"/>
        </w:rPr>
        <w:t>desorption in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404534" w:rsidRPr="00250FF0">
        <w:rPr>
          <w:rFonts w:ascii="Times New Roman" w:hAnsi="Times New Roman"/>
          <w:bCs/>
          <w:sz w:val="24"/>
          <w:szCs w:val="24"/>
          <w:lang w:val="en-GB"/>
        </w:rPr>
        <w:t xml:space="preserve">Regosol 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14:paraId="272B0EF0" w14:textId="77777777" w:rsidR="00B67FC2" w:rsidRPr="00250FF0" w:rsidRDefault="00B67FC2" w:rsidP="00B67FC2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tbl>
      <w:tblPr>
        <w:tblStyle w:val="TableGrid"/>
        <w:tblW w:w="680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564"/>
        <w:gridCol w:w="1505"/>
        <w:gridCol w:w="1477"/>
      </w:tblGrid>
      <w:tr w:rsidR="00250FF0" w:rsidRPr="00250FF0" w14:paraId="342ADFED" w14:textId="77777777" w:rsidTr="00971584">
        <w:tc>
          <w:tcPr>
            <w:tcW w:w="2211" w:type="dxa"/>
            <w:tcBorders>
              <w:top w:val="single" w:sz="4" w:space="0" w:color="auto"/>
              <w:bottom w:val="nil"/>
            </w:tcBorders>
            <w:vAlign w:val="center"/>
          </w:tcPr>
          <w:p w14:paraId="39E8D425" w14:textId="77777777" w:rsidR="004B6444" w:rsidRPr="00250FF0" w:rsidRDefault="004B6444" w:rsidP="00951667">
            <w:pPr>
              <w:widowControl w:val="0"/>
              <w:spacing w:after="0" w:line="360" w:lineRule="auto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F69CE" w14:textId="77777777" w:rsidR="004B6444" w:rsidRPr="00250FF0" w:rsidRDefault="00951667" w:rsidP="0095166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250FF0">
              <w:rPr>
                <w:rFonts w:ascii="Times New Roman" w:hAnsi="Times New Roman"/>
                <w:bCs/>
                <w:lang w:val="en-GB"/>
              </w:rPr>
              <w:t>Initial concentration, mg dm</w:t>
            </w:r>
            <w:r w:rsidRPr="00250FF0">
              <w:rPr>
                <w:rFonts w:ascii="Times New Roman" w:hAnsi="Times New Roman"/>
                <w:bCs/>
                <w:vertAlign w:val="superscript"/>
                <w:lang w:val="en-GB"/>
              </w:rPr>
              <w:t>-3</w:t>
            </w:r>
          </w:p>
        </w:tc>
      </w:tr>
      <w:tr w:rsidR="00250FF0" w:rsidRPr="00250FF0" w14:paraId="26AE7B40" w14:textId="77777777" w:rsidTr="00971584">
        <w:tc>
          <w:tcPr>
            <w:tcW w:w="2211" w:type="dxa"/>
            <w:tcBorders>
              <w:top w:val="nil"/>
              <w:bottom w:val="single" w:sz="4" w:space="0" w:color="auto"/>
            </w:tcBorders>
            <w:vAlign w:val="center"/>
          </w:tcPr>
          <w:p w14:paraId="6BDD43A3" w14:textId="77777777" w:rsidR="00A613AC" w:rsidRPr="00250FF0" w:rsidRDefault="00A613AC" w:rsidP="0095166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8BB6E" w14:textId="77777777" w:rsidR="00A613AC" w:rsidRPr="00250FF0" w:rsidRDefault="00A613AC" w:rsidP="0095166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1.5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B1E24" w14:textId="77777777" w:rsidR="00A613AC" w:rsidRPr="00250FF0" w:rsidRDefault="00A613AC" w:rsidP="0095166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000E1" w14:textId="77777777" w:rsidR="00A613AC" w:rsidRPr="00250FF0" w:rsidRDefault="00A613AC" w:rsidP="0095166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15</w:t>
            </w:r>
          </w:p>
        </w:tc>
      </w:tr>
      <w:tr w:rsidR="00250FF0" w:rsidRPr="00250FF0" w14:paraId="59B03017" w14:textId="77777777" w:rsidTr="00971584">
        <w:tc>
          <w:tcPr>
            <w:tcW w:w="2211" w:type="dxa"/>
            <w:tcBorders>
              <w:bottom w:val="nil"/>
            </w:tcBorders>
            <w:vAlign w:val="center"/>
          </w:tcPr>
          <w:p w14:paraId="0EBB12FB" w14:textId="77777777" w:rsidR="00A613AC" w:rsidRPr="00250FF0" w:rsidRDefault="00A613AC" w:rsidP="0095166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250FF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K</w:t>
            </w:r>
            <w:r w:rsidR="00E50F5F" w:rsidRPr="006E7011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GB"/>
              </w:rPr>
              <w:t>f</w:t>
            </w:r>
            <w:proofErr w:type="spellEnd"/>
            <w:r w:rsidR="00E50F5F" w:rsidRPr="006E7011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GB"/>
              </w:rPr>
              <w:t xml:space="preserve"> </w:t>
            </w:r>
            <w:r w:rsidRPr="006E7011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GB"/>
              </w:rPr>
              <w:t>(des)</w:t>
            </w:r>
            <w:r w:rsidR="00B07751" w:rsidRPr="00250FF0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bscript"/>
                <w:lang w:val="en-GB"/>
              </w:rPr>
              <w:t xml:space="preserve"> </w:t>
            </w:r>
            <w:r w:rsidR="00B07751" w:rsidRPr="00250FF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/ </w:t>
            </w:r>
            <w:r w:rsidRPr="00250FF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mg</w:t>
            </w:r>
            <w:r w:rsidRPr="00250FF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  <w:t>(n-1)/n</w:t>
            </w:r>
            <w:r w:rsidR="00B07751" w:rsidRPr="00250FF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250FF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dm</w:t>
            </w:r>
            <w:r w:rsidRPr="00250FF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  <w:t>3/n</w:t>
            </w:r>
            <w:r w:rsidR="00E50F5F" w:rsidRPr="00250FF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Pr="00250FF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kg</w:t>
            </w:r>
            <w:r w:rsidRPr="00250FF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  <w:t>-1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14:paraId="39D3E629" w14:textId="77777777" w:rsidR="00A613AC" w:rsidRPr="00250FF0" w:rsidRDefault="00BA0A71" w:rsidP="00B33CCB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2.34</w:t>
            </w:r>
            <w:r w:rsidR="00E50F5F" w:rsidRPr="00250FF0">
              <w:rPr>
                <w:rFonts w:ascii="Times New Roman" w:hAnsi="Times New Roman" w:cs="Times New Roman"/>
                <w:bCs/>
                <w:lang w:val="en-GB"/>
              </w:rPr>
              <w:t xml:space="preserve"> (± 0.0</w:t>
            </w:r>
            <w:r w:rsidR="00B33CCB" w:rsidRPr="00250FF0">
              <w:rPr>
                <w:rFonts w:ascii="Times New Roman" w:hAnsi="Times New Roman" w:cs="Times New Roman"/>
                <w:bCs/>
                <w:lang w:val="en-GB"/>
              </w:rPr>
              <w:t>0</w:t>
            </w:r>
            <w:r w:rsidR="00444517" w:rsidRPr="00250FF0">
              <w:rPr>
                <w:rFonts w:ascii="Times New Roman" w:hAnsi="Times New Roman" w:cs="Times New Roman"/>
                <w:bCs/>
                <w:lang w:val="en-GB"/>
              </w:rPr>
              <w:t>4</w:t>
            </w:r>
            <w:r w:rsidR="00E50F5F" w:rsidRPr="00250FF0">
              <w:rPr>
                <w:rFonts w:ascii="Times New Roman" w:hAnsi="Times New Roman" w:cs="Times New Roman"/>
                <w:bCs/>
                <w:lang w:val="en-GB"/>
              </w:rPr>
              <w:t>)</w:t>
            </w:r>
            <w:r w:rsidR="00E50F5F" w:rsidRPr="00250FF0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a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14:paraId="11319338" w14:textId="77777777" w:rsidR="00A613AC" w:rsidRPr="00250FF0" w:rsidRDefault="00BA0A71" w:rsidP="00201D5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6.26</w:t>
            </w:r>
            <w:r w:rsidR="00A613AC" w:rsidRPr="00250FF0">
              <w:rPr>
                <w:rFonts w:ascii="Times New Roman" w:hAnsi="Times New Roman" w:cs="Times New Roman"/>
                <w:bCs/>
                <w:lang w:val="en-GB"/>
              </w:rPr>
              <w:t xml:space="preserve"> (± 0.0</w:t>
            </w:r>
            <w:r w:rsidR="00201D56" w:rsidRPr="00250FF0">
              <w:rPr>
                <w:rFonts w:ascii="Times New Roman" w:hAnsi="Times New Roman" w:cs="Times New Roman"/>
                <w:bCs/>
                <w:lang w:val="en-GB"/>
              </w:rPr>
              <w:t>0</w:t>
            </w:r>
            <w:r w:rsidR="00444517" w:rsidRPr="00250FF0">
              <w:rPr>
                <w:rFonts w:ascii="Times New Roman" w:hAnsi="Times New Roman" w:cs="Times New Roman"/>
                <w:bCs/>
                <w:lang w:val="en-GB"/>
              </w:rPr>
              <w:t>4</w:t>
            </w:r>
            <w:r w:rsidR="00A613AC" w:rsidRPr="00250FF0">
              <w:rPr>
                <w:rFonts w:ascii="Times New Roman" w:hAnsi="Times New Roman" w:cs="Times New Roman"/>
                <w:bCs/>
                <w:lang w:val="en-GB"/>
              </w:rPr>
              <w:t>)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14:paraId="35E97EBF" w14:textId="77777777" w:rsidR="00A613AC" w:rsidRPr="00250FF0" w:rsidRDefault="00BA0A71" w:rsidP="0044451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12.46</w:t>
            </w:r>
            <w:r w:rsidR="00A613AC" w:rsidRPr="00250FF0">
              <w:rPr>
                <w:rFonts w:ascii="Times New Roman" w:hAnsi="Times New Roman" w:cs="Times New Roman"/>
                <w:bCs/>
                <w:lang w:val="en-GB"/>
              </w:rPr>
              <w:t xml:space="preserve"> (± 0.0</w:t>
            </w:r>
            <w:r w:rsidR="00444517" w:rsidRPr="00250FF0">
              <w:rPr>
                <w:rFonts w:ascii="Times New Roman" w:hAnsi="Times New Roman" w:cs="Times New Roman"/>
                <w:bCs/>
                <w:lang w:val="en-GB"/>
              </w:rPr>
              <w:t>1</w:t>
            </w:r>
            <w:r w:rsidR="00A613AC" w:rsidRPr="00250FF0">
              <w:rPr>
                <w:rFonts w:ascii="Times New Roman" w:hAnsi="Times New Roman" w:cs="Times New Roman"/>
                <w:bCs/>
                <w:lang w:val="en-GB"/>
              </w:rPr>
              <w:t>)</w:t>
            </w:r>
          </w:p>
        </w:tc>
      </w:tr>
      <w:tr w:rsidR="00250FF0" w:rsidRPr="00250FF0" w14:paraId="66B04A99" w14:textId="77777777" w:rsidTr="00971584">
        <w:tc>
          <w:tcPr>
            <w:tcW w:w="2211" w:type="dxa"/>
            <w:tcBorders>
              <w:top w:val="nil"/>
              <w:bottom w:val="nil"/>
            </w:tcBorders>
            <w:vAlign w:val="center"/>
          </w:tcPr>
          <w:p w14:paraId="5731BFDD" w14:textId="77777777" w:rsidR="00A613AC" w:rsidRPr="00250FF0" w:rsidRDefault="00A613AC" w:rsidP="0095166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1/n</w:t>
            </w:r>
            <w:r w:rsidRPr="006E7011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GB"/>
              </w:rPr>
              <w:t>(des)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2A9A7580" w14:textId="77777777" w:rsidR="00A613AC" w:rsidRPr="00250FF0" w:rsidRDefault="00C9788E" w:rsidP="0095166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0.26</w:t>
            </w:r>
            <w:r w:rsidR="005938E9" w:rsidRPr="00250FF0">
              <w:rPr>
                <w:rFonts w:ascii="Times New Roman" w:hAnsi="Times New Roman" w:cs="Times New Roman"/>
                <w:bCs/>
                <w:lang w:val="en-GB"/>
              </w:rPr>
              <w:t xml:space="preserve"> (± 0.01)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029A7EC7" w14:textId="77777777" w:rsidR="00A613AC" w:rsidRPr="00250FF0" w:rsidRDefault="00C9788E" w:rsidP="0095166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0.27</w:t>
            </w:r>
            <w:r w:rsidR="00201D56" w:rsidRPr="00250FF0">
              <w:rPr>
                <w:rFonts w:ascii="Times New Roman" w:hAnsi="Times New Roman" w:cs="Times New Roman"/>
                <w:bCs/>
                <w:lang w:val="en-GB"/>
              </w:rPr>
              <w:t xml:space="preserve"> (± 0.01)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14:paraId="7BFE5282" w14:textId="77777777" w:rsidR="00A613AC" w:rsidRPr="00250FF0" w:rsidRDefault="00C9788E" w:rsidP="0095166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0.23</w:t>
            </w:r>
            <w:r w:rsidR="00444517" w:rsidRPr="00250FF0">
              <w:rPr>
                <w:rFonts w:ascii="Times New Roman" w:hAnsi="Times New Roman" w:cs="Times New Roman"/>
                <w:bCs/>
                <w:lang w:val="en-GB"/>
              </w:rPr>
              <w:t xml:space="preserve"> (± 0.01)</w:t>
            </w:r>
          </w:p>
        </w:tc>
      </w:tr>
      <w:tr w:rsidR="00250FF0" w:rsidRPr="00250FF0" w14:paraId="7D602A08" w14:textId="77777777" w:rsidTr="00971584">
        <w:tc>
          <w:tcPr>
            <w:tcW w:w="2211" w:type="dxa"/>
            <w:tcBorders>
              <w:top w:val="nil"/>
              <w:bottom w:val="nil"/>
            </w:tcBorders>
            <w:vAlign w:val="center"/>
          </w:tcPr>
          <w:p w14:paraId="142ACCCA" w14:textId="77777777" w:rsidR="00A613AC" w:rsidRPr="00250FF0" w:rsidRDefault="00A613AC" w:rsidP="0095166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r</w:t>
            </w:r>
            <w:r w:rsidRPr="00250FF0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48FF28DD" w14:textId="77777777" w:rsidR="00A613AC" w:rsidRPr="00250FF0" w:rsidRDefault="00C9788E" w:rsidP="0095166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0.995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7FCF8B0F" w14:textId="77777777" w:rsidR="00A613AC" w:rsidRPr="00250FF0" w:rsidRDefault="00C9788E" w:rsidP="0095166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0.995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14:paraId="5816CA6A" w14:textId="77777777" w:rsidR="00A613AC" w:rsidRPr="00250FF0" w:rsidRDefault="00C9788E" w:rsidP="0095166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0.997</w:t>
            </w:r>
          </w:p>
        </w:tc>
      </w:tr>
      <w:tr w:rsidR="00250FF0" w:rsidRPr="00250FF0" w14:paraId="524F3919" w14:textId="77777777" w:rsidTr="00971584">
        <w:tc>
          <w:tcPr>
            <w:tcW w:w="2211" w:type="dxa"/>
            <w:tcBorders>
              <w:top w:val="nil"/>
              <w:bottom w:val="nil"/>
            </w:tcBorders>
            <w:vAlign w:val="center"/>
          </w:tcPr>
          <w:p w14:paraId="6D3979D4" w14:textId="77777777" w:rsidR="00A613AC" w:rsidRPr="00250FF0" w:rsidRDefault="00A613AC" w:rsidP="0095166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H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51039CD8" w14:textId="77777777" w:rsidR="00A613AC" w:rsidRPr="00250FF0" w:rsidRDefault="007D1EB4" w:rsidP="0095166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0.277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12A4FACA" w14:textId="77777777" w:rsidR="00A613AC" w:rsidRPr="00250FF0" w:rsidRDefault="007D1EB4" w:rsidP="0095166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0.260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14:paraId="5E35D592" w14:textId="77777777" w:rsidR="00A613AC" w:rsidRPr="00250FF0" w:rsidRDefault="007D1EB4" w:rsidP="0095166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0.241</w:t>
            </w:r>
          </w:p>
        </w:tc>
      </w:tr>
      <w:tr w:rsidR="00250FF0" w:rsidRPr="00250FF0" w14:paraId="08C9EDD2" w14:textId="77777777" w:rsidTr="00971584">
        <w:tc>
          <w:tcPr>
            <w:tcW w:w="2211" w:type="dxa"/>
            <w:tcBorders>
              <w:top w:val="nil"/>
              <w:bottom w:val="nil"/>
            </w:tcBorders>
            <w:vAlign w:val="center"/>
          </w:tcPr>
          <w:p w14:paraId="444E65F9" w14:textId="77777777" w:rsidR="00A613AC" w:rsidRPr="00250FF0" w:rsidRDefault="006211B2" w:rsidP="006211B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D </w:t>
            </w:r>
            <w:r w:rsidRPr="006E70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(I)</w:t>
            </w:r>
            <w:r w:rsidR="006D2D27" w:rsidRPr="00250FF0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GB"/>
              </w:rPr>
              <w:t>b</w:t>
            </w:r>
            <w:r w:rsidRPr="00250FF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/ %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0EAADEE5" w14:textId="77777777" w:rsidR="00A613AC" w:rsidRPr="00250FF0" w:rsidRDefault="00EC6141" w:rsidP="0095166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17.60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4C35BE13" w14:textId="77777777" w:rsidR="00A613AC" w:rsidRPr="00250FF0" w:rsidRDefault="00EC6141" w:rsidP="0095166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14.70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14:paraId="44C9B24C" w14:textId="77777777" w:rsidR="00A613AC" w:rsidRPr="00250FF0" w:rsidRDefault="00EC6141" w:rsidP="0095166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14.52</w:t>
            </w:r>
          </w:p>
        </w:tc>
      </w:tr>
      <w:tr w:rsidR="00250FF0" w:rsidRPr="00250FF0" w14:paraId="535DE584" w14:textId="77777777" w:rsidTr="00971584">
        <w:tc>
          <w:tcPr>
            <w:tcW w:w="2211" w:type="dxa"/>
            <w:tcBorders>
              <w:top w:val="nil"/>
              <w:bottom w:val="nil"/>
            </w:tcBorders>
            <w:vAlign w:val="center"/>
          </w:tcPr>
          <w:p w14:paraId="45B54D75" w14:textId="77777777" w:rsidR="00A613AC" w:rsidRPr="00250FF0" w:rsidRDefault="007F4FFF" w:rsidP="0095166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D </w:t>
            </w:r>
            <w:r w:rsidRPr="006E70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(II)</w:t>
            </w:r>
            <w:r w:rsidRPr="00250FF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/ %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576955DF" w14:textId="77777777" w:rsidR="00A613AC" w:rsidRPr="00250FF0" w:rsidRDefault="00EC6141" w:rsidP="0095166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12.44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7F103A14" w14:textId="77777777" w:rsidR="00A613AC" w:rsidRPr="00250FF0" w:rsidRDefault="00EC6141" w:rsidP="0095166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13.39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14:paraId="2C910AF3" w14:textId="77777777" w:rsidR="00A613AC" w:rsidRPr="00250FF0" w:rsidRDefault="00EC6141" w:rsidP="0095166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12.59</w:t>
            </w:r>
          </w:p>
        </w:tc>
      </w:tr>
      <w:tr w:rsidR="00250FF0" w:rsidRPr="00250FF0" w14:paraId="4379EF87" w14:textId="77777777" w:rsidTr="00971584">
        <w:tc>
          <w:tcPr>
            <w:tcW w:w="2211" w:type="dxa"/>
            <w:tcBorders>
              <w:top w:val="nil"/>
              <w:bottom w:val="nil"/>
            </w:tcBorders>
            <w:vAlign w:val="center"/>
          </w:tcPr>
          <w:p w14:paraId="543ADF9B" w14:textId="77777777" w:rsidR="00A613AC" w:rsidRPr="00250FF0" w:rsidRDefault="007F4FFF" w:rsidP="0095166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D </w:t>
            </w:r>
            <w:r w:rsidRPr="006E70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(III)</w:t>
            </w:r>
            <w:r w:rsidRPr="00250FF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/ %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71A1114D" w14:textId="77777777" w:rsidR="00A613AC" w:rsidRPr="00250FF0" w:rsidRDefault="00EC6141" w:rsidP="0095166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10.70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4B21A890" w14:textId="77777777" w:rsidR="00A613AC" w:rsidRPr="00250FF0" w:rsidRDefault="00EC6141" w:rsidP="0095166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10.84</w:t>
            </w:r>
          </w:p>
        </w:tc>
        <w:tc>
          <w:tcPr>
            <w:tcW w:w="1446" w:type="dxa"/>
            <w:tcBorders>
              <w:top w:val="nil"/>
              <w:bottom w:val="nil"/>
            </w:tcBorders>
            <w:vAlign w:val="center"/>
          </w:tcPr>
          <w:p w14:paraId="654C843C" w14:textId="77777777" w:rsidR="00A613AC" w:rsidRPr="00250FF0" w:rsidRDefault="00EC6141" w:rsidP="0095166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9.89</w:t>
            </w:r>
          </w:p>
        </w:tc>
      </w:tr>
      <w:tr w:rsidR="00250FF0" w:rsidRPr="00250FF0" w14:paraId="09CA5F3F" w14:textId="77777777" w:rsidTr="00971584">
        <w:tc>
          <w:tcPr>
            <w:tcW w:w="2211" w:type="dxa"/>
            <w:tcBorders>
              <w:top w:val="nil"/>
            </w:tcBorders>
            <w:vAlign w:val="center"/>
          </w:tcPr>
          <w:p w14:paraId="37E6DFF1" w14:textId="77777777" w:rsidR="00A613AC" w:rsidRPr="00250FF0" w:rsidRDefault="00A613AC" w:rsidP="0095166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Total </w:t>
            </w:r>
            <w:r w:rsidR="002B3137" w:rsidRPr="00250FF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2B3137" w:rsidRPr="00250FF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D </w:t>
            </w:r>
            <w:r w:rsidRPr="006E70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(I-III)</w:t>
            </w:r>
            <w:r w:rsidR="002B3137" w:rsidRPr="00250FF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/ %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14:paraId="2F29E87C" w14:textId="77777777" w:rsidR="00A613AC" w:rsidRPr="00250FF0" w:rsidRDefault="00EC6141" w:rsidP="0095166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35.58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14:paraId="75C89EE8" w14:textId="77777777" w:rsidR="00A613AC" w:rsidRPr="00250FF0" w:rsidRDefault="00EC6141" w:rsidP="0095166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34.13</w:t>
            </w:r>
          </w:p>
        </w:tc>
        <w:tc>
          <w:tcPr>
            <w:tcW w:w="1446" w:type="dxa"/>
            <w:tcBorders>
              <w:top w:val="nil"/>
            </w:tcBorders>
            <w:vAlign w:val="center"/>
          </w:tcPr>
          <w:p w14:paraId="2C851D86" w14:textId="77777777" w:rsidR="00A613AC" w:rsidRPr="00250FF0" w:rsidRDefault="00EC6141" w:rsidP="0095166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32.67</w:t>
            </w:r>
          </w:p>
        </w:tc>
      </w:tr>
    </w:tbl>
    <w:p w14:paraId="33B4A4E4" w14:textId="77777777" w:rsidR="000F737A" w:rsidRPr="00250FF0" w:rsidRDefault="00B67FC2" w:rsidP="00B67FC2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proofErr w:type="gramStart"/>
      <w:r w:rsidRPr="00250FF0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a</w:t>
      </w:r>
      <w:proofErr w:type="gramEnd"/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Value in parentheses</w:t>
      </w:r>
      <w:r w:rsidR="006D2D27" w:rsidRPr="00250FF0">
        <w:rPr>
          <w:rFonts w:ascii="Times New Roman" w:hAnsi="Times New Roman"/>
          <w:bCs/>
          <w:sz w:val="24"/>
          <w:szCs w:val="24"/>
          <w:lang w:val="en-GB"/>
        </w:rPr>
        <w:t xml:space="preserve"> is the 95% confidence interval; </w:t>
      </w:r>
      <w:r w:rsidR="006D2D27" w:rsidRPr="00250FF0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b</w:t>
      </w:r>
      <w:r w:rsidR="006D2D27" w:rsidRPr="00250FF0">
        <w:rPr>
          <w:rFonts w:ascii="Times New Roman" w:hAnsi="Times New Roman"/>
          <w:bCs/>
          <w:sz w:val="24"/>
          <w:szCs w:val="24"/>
          <w:lang w:val="en-GB"/>
        </w:rPr>
        <w:t xml:space="preserve"> Number of desorption cycle</w:t>
      </w:r>
      <w:r w:rsidR="00CA17C1" w:rsidRPr="00250FF0">
        <w:rPr>
          <w:rFonts w:ascii="Times New Roman" w:hAnsi="Times New Roman"/>
          <w:bCs/>
          <w:sz w:val="24"/>
          <w:szCs w:val="24"/>
          <w:lang w:val="en-GB"/>
        </w:rPr>
        <w:t>s</w:t>
      </w:r>
      <w:r w:rsidR="006D2D27" w:rsidRPr="00250FF0">
        <w:rPr>
          <w:rFonts w:ascii="Times New Roman" w:hAnsi="Times New Roman"/>
          <w:bCs/>
          <w:sz w:val="24"/>
          <w:szCs w:val="24"/>
          <w:lang w:val="en-GB"/>
        </w:rPr>
        <w:t>.</w:t>
      </w:r>
    </w:p>
    <w:p w14:paraId="342690BA" w14:textId="77777777" w:rsidR="000F737A" w:rsidRPr="00250FF0" w:rsidRDefault="000F737A" w:rsidP="00B67FC2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14:paraId="468AF780" w14:textId="77777777" w:rsidR="000F737A" w:rsidRPr="00250FF0" w:rsidRDefault="000F737A" w:rsidP="000F737A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proofErr w:type="gramStart"/>
      <w:r w:rsidRPr="00250FF0">
        <w:rPr>
          <w:rFonts w:ascii="Times New Roman" w:hAnsi="Times New Roman"/>
          <w:bCs/>
          <w:sz w:val="24"/>
          <w:szCs w:val="24"/>
          <w:lang w:val="en-GB"/>
        </w:rPr>
        <w:t>TABLE IV.</w:t>
      </w:r>
      <w:proofErr w:type="gramEnd"/>
      <w:r w:rsidRPr="00250FF0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bCs/>
          <w:sz w:val="24"/>
          <w:szCs w:val="24"/>
          <w:lang w:val="en-GB"/>
        </w:rPr>
        <w:t>Freundlich</w:t>
      </w:r>
      <w:proofErr w:type="spellEnd"/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parameters,</w:t>
      </w:r>
      <w:r w:rsidR="00A17110" w:rsidRPr="00250FF0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>hysteresis coefficients (</w:t>
      </w:r>
      <w:r w:rsidRPr="00250FF0">
        <w:rPr>
          <w:rFonts w:ascii="Times New Roman" w:hAnsi="Times New Roman"/>
          <w:bCs/>
          <w:i/>
          <w:sz w:val="24"/>
          <w:szCs w:val="24"/>
          <w:lang w:val="en-GB"/>
        </w:rPr>
        <w:t>H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) and </w:t>
      </w:r>
      <w:r w:rsidRPr="00250FF0">
        <w:rPr>
          <w:rFonts w:ascii="Times New Roman" w:hAnsi="Times New Roman"/>
          <w:sz w:val="24"/>
          <w:szCs w:val="24"/>
          <w:lang w:val="en-GB"/>
        </w:rPr>
        <w:t>desorption percentages (</w:t>
      </w:r>
      <w:r w:rsidRPr="00250FF0">
        <w:rPr>
          <w:rFonts w:ascii="Times New Roman" w:hAnsi="Times New Roman"/>
          <w:i/>
          <w:sz w:val="24"/>
          <w:szCs w:val="24"/>
          <w:lang w:val="en-GB"/>
        </w:rPr>
        <w:t>D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) 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for clomazone desorption in Chernozem  </w:t>
      </w:r>
    </w:p>
    <w:p w14:paraId="5C45D1B9" w14:textId="77777777" w:rsidR="000F737A" w:rsidRPr="00250FF0" w:rsidRDefault="000F737A" w:rsidP="000F737A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tbl>
      <w:tblPr>
        <w:tblStyle w:val="TableGrid"/>
        <w:tblW w:w="680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550"/>
        <w:gridCol w:w="1493"/>
        <w:gridCol w:w="1493"/>
      </w:tblGrid>
      <w:tr w:rsidR="00250FF0" w:rsidRPr="00250FF0" w14:paraId="32172B4E" w14:textId="77777777" w:rsidTr="00DA00A7">
        <w:tc>
          <w:tcPr>
            <w:tcW w:w="2240" w:type="dxa"/>
            <w:tcBorders>
              <w:top w:val="single" w:sz="4" w:space="0" w:color="auto"/>
              <w:bottom w:val="nil"/>
            </w:tcBorders>
            <w:vAlign w:val="center"/>
          </w:tcPr>
          <w:p w14:paraId="7D8B9971" w14:textId="77777777" w:rsidR="00BA0A71" w:rsidRPr="00250FF0" w:rsidRDefault="00BA0A71" w:rsidP="001B3638">
            <w:pPr>
              <w:widowControl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A9230" w14:textId="77777777" w:rsidR="00BA0A71" w:rsidRPr="00250FF0" w:rsidRDefault="00BA0A71" w:rsidP="001B363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250FF0">
              <w:rPr>
                <w:rFonts w:ascii="Times New Roman" w:hAnsi="Times New Roman"/>
                <w:bCs/>
                <w:lang w:val="en-GB"/>
              </w:rPr>
              <w:t>Initial concentration, mg dm</w:t>
            </w:r>
            <w:r w:rsidRPr="00250FF0">
              <w:rPr>
                <w:rFonts w:ascii="Times New Roman" w:hAnsi="Times New Roman"/>
                <w:bCs/>
                <w:vertAlign w:val="superscript"/>
                <w:lang w:val="en-GB"/>
              </w:rPr>
              <w:t>-3</w:t>
            </w:r>
          </w:p>
        </w:tc>
      </w:tr>
      <w:tr w:rsidR="00250FF0" w:rsidRPr="00250FF0" w14:paraId="59AE79BF" w14:textId="77777777" w:rsidTr="00DA00A7">
        <w:tc>
          <w:tcPr>
            <w:tcW w:w="2240" w:type="dxa"/>
            <w:tcBorders>
              <w:top w:val="nil"/>
              <w:bottom w:val="single" w:sz="4" w:space="0" w:color="auto"/>
            </w:tcBorders>
            <w:vAlign w:val="center"/>
          </w:tcPr>
          <w:p w14:paraId="3DE53085" w14:textId="77777777" w:rsidR="00BA0A71" w:rsidRPr="00250FF0" w:rsidRDefault="00BA0A71" w:rsidP="001B363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32859" w14:textId="77777777" w:rsidR="00BA0A71" w:rsidRPr="00250FF0" w:rsidRDefault="00BA0A71" w:rsidP="001B363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1.5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FA37D" w14:textId="77777777" w:rsidR="00BA0A71" w:rsidRPr="00250FF0" w:rsidRDefault="00BA0A71" w:rsidP="001B363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FE559" w14:textId="77777777" w:rsidR="00BA0A71" w:rsidRPr="00250FF0" w:rsidRDefault="00BA0A71" w:rsidP="001B363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15</w:t>
            </w:r>
          </w:p>
        </w:tc>
      </w:tr>
      <w:tr w:rsidR="00250FF0" w:rsidRPr="00250FF0" w14:paraId="6E15F40D" w14:textId="77777777" w:rsidTr="00DA00A7">
        <w:tc>
          <w:tcPr>
            <w:tcW w:w="2240" w:type="dxa"/>
            <w:tcBorders>
              <w:bottom w:val="nil"/>
            </w:tcBorders>
            <w:vAlign w:val="center"/>
          </w:tcPr>
          <w:p w14:paraId="15817C3E" w14:textId="77777777" w:rsidR="00BA0A71" w:rsidRPr="00250FF0" w:rsidRDefault="00BA0A71" w:rsidP="001B363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250FF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K</w:t>
            </w:r>
            <w:r w:rsidRPr="006E7011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GB"/>
              </w:rPr>
              <w:t>f</w:t>
            </w:r>
            <w:proofErr w:type="spellEnd"/>
            <w:r w:rsidRPr="006E7011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GB"/>
              </w:rPr>
              <w:t xml:space="preserve"> (des)</w:t>
            </w:r>
            <w:r w:rsidRPr="00250FF0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bscript"/>
                <w:lang w:val="en-GB"/>
              </w:rPr>
              <w:t xml:space="preserve"> </w:t>
            </w:r>
            <w:r w:rsidRPr="00250FF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/ mg</w:t>
            </w:r>
            <w:r w:rsidRPr="00250FF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  <w:t xml:space="preserve">(n-1)/n </w:t>
            </w:r>
            <w:r w:rsidRPr="00250FF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dm</w:t>
            </w:r>
            <w:r w:rsidRPr="00250FF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  <w:t>3/n</w:t>
            </w:r>
            <w:r w:rsidRPr="00250FF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kg</w:t>
            </w:r>
            <w:r w:rsidRPr="00250FF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  <w:t>-1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14:paraId="2388008F" w14:textId="77777777" w:rsidR="00BA0A71" w:rsidRPr="00250FF0" w:rsidRDefault="00BA0A71" w:rsidP="00BA0A7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3.24 (± 0.01)</w:t>
            </w:r>
            <w:r w:rsidRPr="00250FF0">
              <w:rPr>
                <w:rFonts w:ascii="Times New Roman" w:hAnsi="Times New Roman" w:cs="Times New Roman"/>
                <w:bCs/>
                <w:vertAlign w:val="superscript"/>
                <w:lang w:val="en-GB"/>
              </w:rPr>
              <w:t>a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14:paraId="338A43F8" w14:textId="77777777" w:rsidR="00BA0A71" w:rsidRPr="00250FF0" w:rsidRDefault="00BA0A71" w:rsidP="005F553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9.03 (± 0.0</w:t>
            </w:r>
            <w:r w:rsidR="005F553E" w:rsidRPr="00250FF0">
              <w:rPr>
                <w:rFonts w:ascii="Times New Roman" w:hAnsi="Times New Roman" w:cs="Times New Roman"/>
                <w:bCs/>
                <w:lang w:val="en-GB"/>
              </w:rPr>
              <w:t>04</w:t>
            </w:r>
            <w:r w:rsidRPr="00250FF0">
              <w:rPr>
                <w:rFonts w:ascii="Times New Roman" w:hAnsi="Times New Roman" w:cs="Times New Roman"/>
                <w:bCs/>
                <w:lang w:val="en-GB"/>
              </w:rPr>
              <w:t>)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14:paraId="5A5E48A6" w14:textId="77777777" w:rsidR="00BA0A71" w:rsidRPr="00250FF0" w:rsidRDefault="00BA0A71" w:rsidP="00BA0A7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18.95 (± 0.01)</w:t>
            </w:r>
          </w:p>
        </w:tc>
      </w:tr>
      <w:tr w:rsidR="00250FF0" w:rsidRPr="00250FF0" w14:paraId="0E9C441B" w14:textId="77777777" w:rsidTr="00DA00A7">
        <w:tc>
          <w:tcPr>
            <w:tcW w:w="2240" w:type="dxa"/>
            <w:tcBorders>
              <w:top w:val="nil"/>
              <w:bottom w:val="nil"/>
            </w:tcBorders>
            <w:vAlign w:val="center"/>
          </w:tcPr>
          <w:p w14:paraId="5B407834" w14:textId="77777777" w:rsidR="00BA0A71" w:rsidRPr="00250FF0" w:rsidRDefault="00BA0A71" w:rsidP="001B363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1/n</w:t>
            </w:r>
            <w:r w:rsidRPr="006E7011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  <w:lang w:val="en-GB"/>
              </w:rPr>
              <w:t>(des)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535048DE" w14:textId="77777777" w:rsidR="00BA0A71" w:rsidRPr="00250FF0" w:rsidRDefault="00C9788E" w:rsidP="005F553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0.19</w:t>
            </w:r>
            <w:r w:rsidR="005938E9" w:rsidRPr="00250FF0">
              <w:rPr>
                <w:rFonts w:ascii="Times New Roman" w:hAnsi="Times New Roman" w:cs="Times New Roman"/>
                <w:bCs/>
                <w:lang w:val="en-GB"/>
              </w:rPr>
              <w:t xml:space="preserve"> (± 0.0</w:t>
            </w:r>
            <w:r w:rsidR="005F553E" w:rsidRPr="00250FF0">
              <w:rPr>
                <w:rFonts w:ascii="Times New Roman" w:hAnsi="Times New Roman" w:cs="Times New Roman"/>
                <w:bCs/>
                <w:lang w:val="en-GB"/>
              </w:rPr>
              <w:t>2</w:t>
            </w:r>
            <w:r w:rsidR="005938E9" w:rsidRPr="00250FF0">
              <w:rPr>
                <w:rFonts w:ascii="Times New Roman" w:hAnsi="Times New Roman" w:cs="Times New Roman"/>
                <w:bCs/>
                <w:lang w:val="en-GB"/>
              </w:rPr>
              <w:t>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4A084EA8" w14:textId="77777777" w:rsidR="00BA0A71" w:rsidRPr="00250FF0" w:rsidRDefault="00C9788E" w:rsidP="001B363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0.27</w:t>
            </w:r>
            <w:r w:rsidR="005F553E" w:rsidRPr="00250FF0">
              <w:rPr>
                <w:rFonts w:ascii="Times New Roman" w:hAnsi="Times New Roman" w:cs="Times New Roman"/>
                <w:bCs/>
                <w:lang w:val="en-GB"/>
              </w:rPr>
              <w:t xml:space="preserve"> (± 0.01)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3BBE4CFC" w14:textId="77777777" w:rsidR="00BA0A71" w:rsidRPr="00250FF0" w:rsidRDefault="00C9788E" w:rsidP="005F553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0.26</w:t>
            </w:r>
            <w:r w:rsidR="005F553E" w:rsidRPr="00250FF0">
              <w:rPr>
                <w:rFonts w:ascii="Times New Roman" w:hAnsi="Times New Roman" w:cs="Times New Roman"/>
                <w:bCs/>
                <w:lang w:val="en-GB"/>
              </w:rPr>
              <w:t xml:space="preserve"> (± 0.02)</w:t>
            </w:r>
          </w:p>
        </w:tc>
      </w:tr>
      <w:tr w:rsidR="00250FF0" w:rsidRPr="00250FF0" w14:paraId="338E093A" w14:textId="77777777" w:rsidTr="00DA00A7">
        <w:tc>
          <w:tcPr>
            <w:tcW w:w="2240" w:type="dxa"/>
            <w:tcBorders>
              <w:top w:val="nil"/>
              <w:bottom w:val="nil"/>
            </w:tcBorders>
            <w:vAlign w:val="center"/>
          </w:tcPr>
          <w:p w14:paraId="1BED6A25" w14:textId="77777777" w:rsidR="00BA0A71" w:rsidRPr="00250FF0" w:rsidRDefault="00BA0A71" w:rsidP="001B363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r</w:t>
            </w:r>
            <w:r w:rsidRPr="00250FF0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7E0DD8F7" w14:textId="77777777" w:rsidR="00BA0A71" w:rsidRPr="00250FF0" w:rsidRDefault="00C9788E" w:rsidP="001B363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0.970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74497F87" w14:textId="77777777" w:rsidR="00BA0A71" w:rsidRPr="00250FF0" w:rsidRDefault="00C9788E" w:rsidP="001B363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0.994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42AE4B5D" w14:textId="77777777" w:rsidR="00BA0A71" w:rsidRPr="00250FF0" w:rsidRDefault="00C9788E" w:rsidP="001B363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0.975</w:t>
            </w:r>
          </w:p>
        </w:tc>
      </w:tr>
      <w:tr w:rsidR="00250FF0" w:rsidRPr="00250FF0" w14:paraId="1467F246" w14:textId="77777777" w:rsidTr="00DA00A7">
        <w:tc>
          <w:tcPr>
            <w:tcW w:w="2240" w:type="dxa"/>
            <w:tcBorders>
              <w:top w:val="nil"/>
              <w:bottom w:val="nil"/>
            </w:tcBorders>
            <w:vAlign w:val="center"/>
          </w:tcPr>
          <w:p w14:paraId="6B04B2C3" w14:textId="77777777" w:rsidR="00BA0A71" w:rsidRPr="00250FF0" w:rsidRDefault="00BA0A71" w:rsidP="001B363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H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2E4AC1A0" w14:textId="77777777" w:rsidR="00BA0A71" w:rsidRPr="00250FF0" w:rsidRDefault="007D1EB4" w:rsidP="007D1EB4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0.258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04F2E86D" w14:textId="77777777" w:rsidR="00BA0A71" w:rsidRPr="00250FF0" w:rsidRDefault="007D1EB4" w:rsidP="007D1EB4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0.256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75CB5424" w14:textId="77777777" w:rsidR="00BA0A71" w:rsidRPr="00250FF0" w:rsidRDefault="007D1EB4" w:rsidP="007D1EB4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0.227</w:t>
            </w:r>
          </w:p>
        </w:tc>
      </w:tr>
      <w:tr w:rsidR="00250FF0" w:rsidRPr="00250FF0" w14:paraId="3AECD496" w14:textId="77777777" w:rsidTr="00DA00A7">
        <w:tc>
          <w:tcPr>
            <w:tcW w:w="2240" w:type="dxa"/>
            <w:tcBorders>
              <w:top w:val="nil"/>
              <w:bottom w:val="nil"/>
            </w:tcBorders>
            <w:vAlign w:val="center"/>
          </w:tcPr>
          <w:p w14:paraId="72C63162" w14:textId="77777777" w:rsidR="00BA0A71" w:rsidRPr="00250FF0" w:rsidRDefault="006211B2" w:rsidP="001B363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D </w:t>
            </w:r>
            <w:r w:rsidRPr="006E70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(I)</w:t>
            </w:r>
            <w:r w:rsidRPr="00250FF0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en-GB"/>
              </w:rPr>
              <w:t>b</w:t>
            </w:r>
            <w:r w:rsidRPr="00250FF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/ %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38616128" w14:textId="77777777" w:rsidR="00BA0A71" w:rsidRPr="00250FF0" w:rsidRDefault="00EC6141" w:rsidP="001B363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18.05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0AD90C62" w14:textId="77777777" w:rsidR="00BA0A71" w:rsidRPr="00250FF0" w:rsidRDefault="00EC6141" w:rsidP="001B363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12.42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43BCBEB4" w14:textId="77777777" w:rsidR="00BA0A71" w:rsidRPr="00250FF0" w:rsidRDefault="00EC6141" w:rsidP="001B363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13.05</w:t>
            </w:r>
          </w:p>
        </w:tc>
      </w:tr>
      <w:tr w:rsidR="00250FF0" w:rsidRPr="00250FF0" w14:paraId="7283F02A" w14:textId="77777777" w:rsidTr="00DA00A7">
        <w:tc>
          <w:tcPr>
            <w:tcW w:w="2240" w:type="dxa"/>
            <w:tcBorders>
              <w:top w:val="nil"/>
              <w:bottom w:val="nil"/>
            </w:tcBorders>
            <w:vAlign w:val="center"/>
          </w:tcPr>
          <w:p w14:paraId="2AA44620" w14:textId="77777777" w:rsidR="00BA0A71" w:rsidRPr="00250FF0" w:rsidRDefault="007F4FFF" w:rsidP="001B363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D </w:t>
            </w:r>
            <w:r w:rsidRPr="006E70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(II)</w:t>
            </w:r>
            <w:r w:rsidRPr="00250FF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/ %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7B2305F9" w14:textId="77777777" w:rsidR="00BA0A71" w:rsidRPr="00250FF0" w:rsidRDefault="00EC6141" w:rsidP="001B363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11.69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09A9252F" w14:textId="77777777" w:rsidR="00BA0A71" w:rsidRPr="00250FF0" w:rsidRDefault="00EC6141" w:rsidP="001B363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13.44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39043C23" w14:textId="77777777" w:rsidR="00BA0A71" w:rsidRPr="00250FF0" w:rsidRDefault="00EC6141" w:rsidP="001B363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11.35</w:t>
            </w:r>
          </w:p>
        </w:tc>
      </w:tr>
      <w:tr w:rsidR="00250FF0" w:rsidRPr="00250FF0" w14:paraId="7D09A72A" w14:textId="77777777" w:rsidTr="00DA00A7">
        <w:tc>
          <w:tcPr>
            <w:tcW w:w="2240" w:type="dxa"/>
            <w:tcBorders>
              <w:top w:val="nil"/>
              <w:bottom w:val="nil"/>
            </w:tcBorders>
            <w:vAlign w:val="center"/>
          </w:tcPr>
          <w:p w14:paraId="4AA17936" w14:textId="77777777" w:rsidR="00BA0A71" w:rsidRPr="00250FF0" w:rsidRDefault="007F4FFF" w:rsidP="001B363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D </w:t>
            </w:r>
            <w:r w:rsidRPr="006E70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(III)</w:t>
            </w:r>
            <w:r w:rsidRPr="00250FF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/ %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14:paraId="2FB3F37F" w14:textId="77777777" w:rsidR="00BA0A71" w:rsidRPr="00250FF0" w:rsidRDefault="00EC6141" w:rsidP="001B363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6.40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259111AD" w14:textId="77777777" w:rsidR="00BA0A71" w:rsidRPr="00250FF0" w:rsidRDefault="00EC6141" w:rsidP="001B363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9.80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14:paraId="495FD8B6" w14:textId="77777777" w:rsidR="00BA0A71" w:rsidRPr="00250FF0" w:rsidRDefault="00EC6141" w:rsidP="001B363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8.04</w:t>
            </w:r>
          </w:p>
        </w:tc>
      </w:tr>
      <w:tr w:rsidR="00250FF0" w:rsidRPr="00250FF0" w14:paraId="030556ED" w14:textId="77777777" w:rsidTr="00DA00A7">
        <w:tc>
          <w:tcPr>
            <w:tcW w:w="2240" w:type="dxa"/>
            <w:tcBorders>
              <w:top w:val="nil"/>
            </w:tcBorders>
            <w:vAlign w:val="center"/>
          </w:tcPr>
          <w:p w14:paraId="765EE96B" w14:textId="77777777" w:rsidR="00BA0A71" w:rsidRPr="00250FF0" w:rsidRDefault="002B3137" w:rsidP="001B363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Total  </w:t>
            </w:r>
            <w:r w:rsidRPr="00250FF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 xml:space="preserve">D </w:t>
            </w:r>
            <w:r w:rsidRPr="006E701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(I-III)</w:t>
            </w:r>
            <w:r w:rsidRPr="00250FF0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/ %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14:paraId="322DB51E" w14:textId="77777777" w:rsidR="00BA0A71" w:rsidRPr="00250FF0" w:rsidRDefault="00EC6141" w:rsidP="001B363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32.26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14:paraId="1E8A147F" w14:textId="77777777" w:rsidR="00BA0A71" w:rsidRPr="00250FF0" w:rsidRDefault="00EC6141" w:rsidP="001B363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31.62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14:paraId="32410263" w14:textId="77777777" w:rsidR="00BA0A71" w:rsidRPr="00250FF0" w:rsidRDefault="00EC6141" w:rsidP="001B363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250FF0">
              <w:rPr>
                <w:rFonts w:ascii="Times New Roman" w:hAnsi="Times New Roman" w:cs="Times New Roman"/>
                <w:bCs/>
                <w:lang w:val="en-GB"/>
              </w:rPr>
              <w:t>29.12</w:t>
            </w:r>
          </w:p>
        </w:tc>
      </w:tr>
    </w:tbl>
    <w:p w14:paraId="7EE47618" w14:textId="77777777" w:rsidR="000F737A" w:rsidRPr="00250FF0" w:rsidRDefault="000F737A" w:rsidP="000F737A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proofErr w:type="gramStart"/>
      <w:r w:rsidRPr="00250FF0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a</w:t>
      </w:r>
      <w:proofErr w:type="gramEnd"/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Value in parentheses is the 95% confidence interval; </w:t>
      </w:r>
      <w:r w:rsidRPr="00250FF0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b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Number of desorption cycle</w:t>
      </w:r>
      <w:r w:rsidR="00A16A46" w:rsidRPr="00250FF0">
        <w:rPr>
          <w:rFonts w:ascii="Times New Roman" w:hAnsi="Times New Roman"/>
          <w:bCs/>
          <w:sz w:val="24"/>
          <w:szCs w:val="24"/>
          <w:lang w:val="en-GB"/>
        </w:rPr>
        <w:t>s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. </w:t>
      </w:r>
    </w:p>
    <w:p w14:paraId="1D93792C" w14:textId="77777777" w:rsidR="00B67FC2" w:rsidRPr="00250FF0" w:rsidRDefault="00B67FC2" w:rsidP="00B67FC2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14:paraId="3D9C6088" w14:textId="77777777" w:rsidR="00DE4FF3" w:rsidRPr="00250FF0" w:rsidRDefault="00DE4FF3" w:rsidP="00DE4FF3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Eq. (3) </w:t>
      </w:r>
      <w:r w:rsidR="00A54DFA" w:rsidRPr="00250FF0">
        <w:rPr>
          <w:rFonts w:ascii="Times New Roman" w:hAnsi="Times New Roman"/>
          <w:bCs/>
          <w:sz w:val="24"/>
          <w:szCs w:val="24"/>
          <w:lang w:val="en-GB"/>
        </w:rPr>
        <w:t xml:space="preserve">evidently 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described well </w:t>
      </w:r>
      <w:r w:rsidR="00A54DFA" w:rsidRPr="00250FF0">
        <w:rPr>
          <w:rFonts w:ascii="Times New Roman" w:hAnsi="Times New Roman"/>
          <w:bCs/>
          <w:sz w:val="24"/>
          <w:szCs w:val="24"/>
          <w:lang w:val="en-GB"/>
        </w:rPr>
        <w:t xml:space="preserve">the 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experimental desorption data for all three initial concentration levels of clomazone, with </w:t>
      </w:r>
      <w:r w:rsidRPr="00250FF0">
        <w:rPr>
          <w:rFonts w:ascii="Times New Roman" w:hAnsi="Times New Roman"/>
          <w:bCs/>
          <w:i/>
          <w:sz w:val="24"/>
          <w:szCs w:val="24"/>
          <w:lang w:val="en-GB"/>
        </w:rPr>
        <w:t>r</w:t>
      </w:r>
      <w:r w:rsidRPr="00250FF0">
        <w:rPr>
          <w:rFonts w:ascii="Times New Roman" w:hAnsi="Times New Roman"/>
          <w:bCs/>
          <w:i/>
          <w:sz w:val="24"/>
          <w:szCs w:val="24"/>
          <w:vertAlign w:val="superscript"/>
          <w:lang w:val="en-GB"/>
        </w:rPr>
        <w:t>2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t xml:space="preserve"> ranging from 0.995 to 0.997, and 0.970 to 0.994 </w:t>
      </w:r>
      <w:r w:rsidRPr="00250FF0">
        <w:rPr>
          <w:rFonts w:ascii="Times New Roman" w:hAnsi="Times New Roman"/>
          <w:bCs/>
          <w:sz w:val="24"/>
          <w:szCs w:val="24"/>
          <w:lang w:val="en-GB"/>
        </w:rPr>
        <w:lastRenderedPageBreak/>
        <w:t xml:space="preserve">for Regosol and Chernozem, respectively. </w:t>
      </w:r>
    </w:p>
    <w:p w14:paraId="33300930" w14:textId="77777777" w:rsidR="004A2529" w:rsidRPr="00250FF0" w:rsidRDefault="00680ECA" w:rsidP="004A25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50FF0">
        <w:rPr>
          <w:rFonts w:ascii="Times New Roman" w:hAnsi="Times New Roman"/>
          <w:sz w:val="24"/>
          <w:szCs w:val="24"/>
          <w:lang w:val="en-GB"/>
        </w:rPr>
        <w:t xml:space="preserve">The obtained </w:t>
      </w:r>
      <w:r w:rsidRPr="00250FF0">
        <w:rPr>
          <w:rFonts w:ascii="Times New Roman" w:hAnsi="Times New Roman"/>
          <w:i/>
          <w:sz w:val="24"/>
          <w:szCs w:val="24"/>
          <w:lang w:val="en-GB"/>
        </w:rPr>
        <w:t>1/</w:t>
      </w:r>
      <w:r w:rsidRPr="00250FF0">
        <w:rPr>
          <w:rFonts w:ascii="Times New Roman" w:hAnsi="Times New Roman"/>
          <w:i/>
          <w:iCs/>
          <w:sz w:val="24"/>
          <w:szCs w:val="24"/>
          <w:lang w:val="en-GB"/>
        </w:rPr>
        <w:t>n</w:t>
      </w:r>
      <w:r w:rsidRPr="00DA00A7">
        <w:rPr>
          <w:rFonts w:ascii="Times New Roman" w:hAnsi="Times New Roman"/>
          <w:iCs/>
          <w:sz w:val="24"/>
          <w:szCs w:val="24"/>
          <w:vertAlign w:val="subscript"/>
          <w:lang w:val="en-GB"/>
        </w:rPr>
        <w:t>(</w:t>
      </w:r>
      <w:r w:rsidRPr="00DA00A7">
        <w:rPr>
          <w:rFonts w:ascii="Times New Roman" w:hAnsi="Times New Roman"/>
          <w:sz w:val="24"/>
          <w:szCs w:val="24"/>
          <w:vertAlign w:val="subscript"/>
          <w:lang w:val="en-GB"/>
        </w:rPr>
        <w:t>ads)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46BE4" w:rsidRPr="00250FF0">
        <w:rPr>
          <w:rFonts w:ascii="Times New Roman" w:hAnsi="Times New Roman"/>
          <w:sz w:val="24"/>
          <w:szCs w:val="24"/>
          <w:lang w:val="en-GB"/>
        </w:rPr>
        <w:t xml:space="preserve">(Table II)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values were much higher than </w:t>
      </w:r>
      <w:r w:rsidRPr="00250FF0">
        <w:rPr>
          <w:rFonts w:ascii="Times New Roman" w:hAnsi="Times New Roman"/>
          <w:i/>
          <w:sz w:val="24"/>
          <w:szCs w:val="24"/>
          <w:lang w:val="en-GB"/>
        </w:rPr>
        <w:t>1/</w:t>
      </w:r>
      <w:r w:rsidRPr="00250FF0">
        <w:rPr>
          <w:rFonts w:ascii="Times New Roman" w:hAnsi="Times New Roman"/>
          <w:i/>
          <w:iCs/>
          <w:sz w:val="24"/>
          <w:szCs w:val="24"/>
          <w:lang w:val="en-GB"/>
        </w:rPr>
        <w:t>n</w:t>
      </w:r>
      <w:r w:rsidRPr="00DA00A7">
        <w:rPr>
          <w:rFonts w:ascii="Times New Roman" w:hAnsi="Times New Roman"/>
          <w:iCs/>
          <w:sz w:val="24"/>
          <w:szCs w:val="24"/>
          <w:vertAlign w:val="subscript"/>
          <w:lang w:val="en-GB"/>
        </w:rPr>
        <w:t>(</w:t>
      </w:r>
      <w:r w:rsidRPr="00DA00A7">
        <w:rPr>
          <w:rFonts w:ascii="Times New Roman" w:hAnsi="Times New Roman"/>
          <w:sz w:val="24"/>
          <w:szCs w:val="24"/>
          <w:vertAlign w:val="subscript"/>
          <w:lang w:val="en-GB"/>
        </w:rPr>
        <w:t>des)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(Tables III and IV), r</w:t>
      </w:r>
      <w:r w:rsidR="004A2529" w:rsidRPr="00250FF0">
        <w:rPr>
          <w:rFonts w:ascii="Times New Roman" w:hAnsi="Times New Roman"/>
          <w:sz w:val="24"/>
          <w:szCs w:val="24"/>
          <w:lang w:val="en-GB"/>
        </w:rPr>
        <w:t xml:space="preserve">egardless both </w:t>
      </w:r>
      <w:r w:rsidR="00C26750" w:rsidRPr="00250FF0">
        <w:rPr>
          <w:rFonts w:ascii="Times New Roman" w:hAnsi="Times New Roman"/>
          <w:sz w:val="24"/>
          <w:szCs w:val="24"/>
          <w:lang w:val="en-GB"/>
        </w:rPr>
        <w:t xml:space="preserve">of the </w:t>
      </w:r>
      <w:r w:rsidR="004A2529" w:rsidRPr="00250FF0">
        <w:rPr>
          <w:rFonts w:ascii="Times New Roman" w:hAnsi="Times New Roman"/>
          <w:sz w:val="24"/>
          <w:szCs w:val="24"/>
          <w:lang w:val="en-GB"/>
        </w:rPr>
        <w:t xml:space="preserve">initial clomazone concentration and soil types studied, </w:t>
      </w:r>
      <w:r w:rsidR="00C26750" w:rsidRPr="00250FF0">
        <w:rPr>
          <w:rFonts w:ascii="Times New Roman" w:hAnsi="Times New Roman"/>
          <w:sz w:val="24"/>
          <w:szCs w:val="24"/>
          <w:lang w:val="en-GB"/>
        </w:rPr>
        <w:t>which</w:t>
      </w:r>
      <w:r w:rsidR="004A2529" w:rsidRPr="00250FF0">
        <w:rPr>
          <w:rFonts w:ascii="Times New Roman" w:hAnsi="Times New Roman"/>
          <w:sz w:val="24"/>
          <w:szCs w:val="24"/>
          <w:lang w:val="en-GB"/>
        </w:rPr>
        <w:t xml:space="preserve"> indicat</w:t>
      </w:r>
      <w:r w:rsidR="00C26750" w:rsidRPr="00250FF0">
        <w:rPr>
          <w:rFonts w:ascii="Times New Roman" w:hAnsi="Times New Roman"/>
          <w:sz w:val="24"/>
          <w:szCs w:val="24"/>
          <w:lang w:val="en-GB"/>
        </w:rPr>
        <w:t xml:space="preserve">es </w:t>
      </w:r>
      <w:r w:rsidR="004A2529" w:rsidRPr="00250FF0">
        <w:rPr>
          <w:rFonts w:ascii="Times New Roman" w:hAnsi="Times New Roman"/>
          <w:sz w:val="24"/>
          <w:szCs w:val="24"/>
          <w:lang w:val="en-GB"/>
        </w:rPr>
        <w:t xml:space="preserve">that a significant amount of clomazone </w:t>
      </w:r>
      <w:r w:rsidR="00033CAA" w:rsidRPr="00250FF0">
        <w:rPr>
          <w:rFonts w:ascii="Times New Roman" w:hAnsi="Times New Roman"/>
          <w:sz w:val="24"/>
          <w:szCs w:val="24"/>
          <w:lang w:val="en-GB"/>
        </w:rPr>
        <w:t>ad</w:t>
      </w:r>
      <w:r w:rsidR="004A2529" w:rsidRPr="00250FF0">
        <w:rPr>
          <w:rFonts w:ascii="Times New Roman" w:hAnsi="Times New Roman"/>
          <w:sz w:val="24"/>
          <w:szCs w:val="24"/>
          <w:lang w:val="en-GB"/>
        </w:rPr>
        <w:t xml:space="preserve">sorbed is not easily desorbed and that desorption cannot be predicted on the basis of adsorption isotherms. </w:t>
      </w:r>
      <w:r w:rsidR="00C26750" w:rsidRPr="00250FF0">
        <w:rPr>
          <w:rFonts w:ascii="Times New Roman" w:hAnsi="Times New Roman"/>
          <w:sz w:val="24"/>
          <w:szCs w:val="24"/>
          <w:lang w:val="en-GB"/>
        </w:rPr>
        <w:t>The finding t</w:t>
      </w:r>
      <w:r w:rsidR="004A2529" w:rsidRPr="00250FF0">
        <w:rPr>
          <w:rFonts w:ascii="Times New Roman" w:hAnsi="Times New Roman"/>
          <w:sz w:val="24"/>
          <w:szCs w:val="24"/>
          <w:lang w:val="en-GB"/>
        </w:rPr>
        <w:t xml:space="preserve">hat sorption of clomazone to soil </w:t>
      </w:r>
      <w:r w:rsidR="00C26750" w:rsidRPr="00250FF0">
        <w:rPr>
          <w:rFonts w:ascii="Times New Roman" w:hAnsi="Times New Roman"/>
          <w:sz w:val="24"/>
          <w:szCs w:val="24"/>
          <w:lang w:val="en-GB"/>
        </w:rPr>
        <w:t>is</w:t>
      </w:r>
      <w:r w:rsidR="004A2529" w:rsidRPr="00250FF0">
        <w:rPr>
          <w:rFonts w:ascii="Times New Roman" w:hAnsi="Times New Roman"/>
          <w:sz w:val="24"/>
          <w:szCs w:val="24"/>
          <w:lang w:val="en-GB"/>
        </w:rPr>
        <w:t xml:space="preserve"> not</w:t>
      </w:r>
      <w:r w:rsidR="00C26750" w:rsidRPr="00250FF0">
        <w:rPr>
          <w:rFonts w:ascii="Times New Roman" w:hAnsi="Times New Roman"/>
          <w:sz w:val="24"/>
          <w:szCs w:val="24"/>
          <w:lang w:val="en-GB"/>
        </w:rPr>
        <w:t xml:space="preserve"> a </w:t>
      </w:r>
      <w:r w:rsidR="004A2529" w:rsidRPr="00250FF0">
        <w:rPr>
          <w:rFonts w:ascii="Times New Roman" w:hAnsi="Times New Roman"/>
          <w:sz w:val="24"/>
          <w:szCs w:val="24"/>
          <w:lang w:val="en-GB"/>
        </w:rPr>
        <w:t xml:space="preserve">reversible process </w:t>
      </w:r>
      <w:r w:rsidR="00C26750" w:rsidRPr="00250FF0">
        <w:rPr>
          <w:rFonts w:ascii="Times New Roman" w:hAnsi="Times New Roman"/>
          <w:sz w:val="24"/>
          <w:szCs w:val="24"/>
          <w:lang w:val="en-GB"/>
        </w:rPr>
        <w:t xml:space="preserve">was </w:t>
      </w:r>
      <w:r w:rsidR="004A2529" w:rsidRPr="00250FF0">
        <w:rPr>
          <w:rFonts w:ascii="Times New Roman" w:hAnsi="Times New Roman"/>
          <w:sz w:val="24"/>
          <w:szCs w:val="24"/>
          <w:lang w:val="en-GB"/>
        </w:rPr>
        <w:t xml:space="preserve">reported </w:t>
      </w:r>
      <w:r w:rsidR="00C26750" w:rsidRPr="00250FF0">
        <w:rPr>
          <w:rFonts w:ascii="Times New Roman" w:hAnsi="Times New Roman"/>
          <w:sz w:val="24"/>
          <w:szCs w:val="24"/>
          <w:lang w:val="en-GB"/>
        </w:rPr>
        <w:t xml:space="preserve">by </w:t>
      </w:r>
      <w:proofErr w:type="spellStart"/>
      <w:r w:rsidR="004A2529" w:rsidRPr="00250FF0">
        <w:rPr>
          <w:rFonts w:ascii="Times New Roman" w:hAnsi="Times New Roman"/>
          <w:sz w:val="24"/>
          <w:szCs w:val="24"/>
          <w:lang w:val="en-GB"/>
        </w:rPr>
        <w:t>Gunasekara</w:t>
      </w:r>
      <w:proofErr w:type="spellEnd"/>
      <w:r w:rsidR="004A2529"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="004A2529" w:rsidRPr="00250FF0">
        <w:rPr>
          <w:rFonts w:ascii="Times New Roman" w:hAnsi="Times New Roman"/>
          <w:sz w:val="24"/>
          <w:szCs w:val="24"/>
          <w:lang w:val="en-GB"/>
        </w:rPr>
        <w:t>et</w:t>
      </w:r>
      <w:proofErr w:type="gramEnd"/>
      <w:r w:rsidR="004A2529" w:rsidRPr="00250FF0">
        <w:rPr>
          <w:rFonts w:ascii="Times New Roman" w:hAnsi="Times New Roman"/>
          <w:sz w:val="24"/>
          <w:szCs w:val="24"/>
          <w:lang w:val="en-GB"/>
        </w:rPr>
        <w:t xml:space="preserve"> al.</w:t>
      </w:r>
      <w:r w:rsidR="00033CAA" w:rsidRPr="00250FF0">
        <w:rPr>
          <w:rFonts w:ascii="Times New Roman" w:hAnsi="Times New Roman"/>
          <w:sz w:val="24"/>
          <w:szCs w:val="24"/>
          <w:vertAlign w:val="superscript"/>
          <w:lang w:val="en-GB"/>
        </w:rPr>
        <w:t>6</w:t>
      </w:r>
      <w:r w:rsidR="00033CAA"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A2529" w:rsidRPr="00250FF0">
        <w:rPr>
          <w:rFonts w:ascii="Times New Roman" w:hAnsi="Times New Roman"/>
          <w:sz w:val="24"/>
          <w:szCs w:val="24"/>
          <w:lang w:val="en-GB"/>
        </w:rPr>
        <w:t>for four American soils, too.</w:t>
      </w:r>
    </w:p>
    <w:p w14:paraId="54DD50BA" w14:textId="77777777" w:rsidR="004A2529" w:rsidRPr="00250FF0" w:rsidRDefault="004A2529" w:rsidP="004A25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50FF0">
        <w:rPr>
          <w:rFonts w:ascii="Times New Roman" w:hAnsi="Times New Roman"/>
          <w:sz w:val="24"/>
          <w:szCs w:val="24"/>
          <w:lang w:val="en-GB"/>
        </w:rPr>
        <w:t>The magnitude of the hysteresis effect was evaluated (Eq. 6), and the values spanned a range of 0.241-0.277 and 0.227-0.258 for Regosol and Chernozem, respectively (Tables III and IV). These values were some</w:t>
      </w:r>
      <w:r w:rsidR="00CC6C72" w:rsidRPr="00250FF0">
        <w:rPr>
          <w:rFonts w:ascii="Times New Roman" w:hAnsi="Times New Roman"/>
          <w:sz w:val="24"/>
          <w:szCs w:val="24"/>
          <w:lang w:val="en-GB"/>
        </w:rPr>
        <w:t>what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higher tha</w:t>
      </w:r>
      <w:r w:rsidR="00CC6C72" w:rsidRPr="00250FF0">
        <w:rPr>
          <w:rFonts w:ascii="Times New Roman" w:hAnsi="Times New Roman"/>
          <w:sz w:val="24"/>
          <w:szCs w:val="24"/>
          <w:lang w:val="en-GB"/>
        </w:rPr>
        <w:t>n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C6C72" w:rsidRPr="00250FF0">
        <w:rPr>
          <w:rFonts w:ascii="Times New Roman" w:hAnsi="Times New Roman"/>
          <w:sz w:val="24"/>
          <w:szCs w:val="24"/>
          <w:lang w:val="en-GB"/>
        </w:rPr>
        <w:t>those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reported for clomazone adsorption-desorption </w:t>
      </w:r>
      <w:r w:rsidR="00F8380D" w:rsidRPr="00250FF0">
        <w:rPr>
          <w:rFonts w:ascii="Times New Roman" w:hAnsi="Times New Roman"/>
          <w:sz w:val="24"/>
          <w:szCs w:val="24"/>
          <w:lang w:val="en-GB"/>
        </w:rPr>
        <w:t>behaviour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in</w:t>
      </w:r>
      <w:r w:rsidR="00C43E05" w:rsidRPr="00250FF0">
        <w:rPr>
          <w:rFonts w:ascii="Times New Roman" w:hAnsi="Times New Roman"/>
          <w:sz w:val="24"/>
          <w:szCs w:val="24"/>
          <w:lang w:val="en-GB"/>
        </w:rPr>
        <w:t xml:space="preserve"> four American soils</w:t>
      </w:r>
      <w:proofErr w:type="gramStart"/>
      <w:r w:rsidRPr="00250FF0">
        <w:rPr>
          <w:rFonts w:ascii="Times New Roman" w:hAnsi="Times New Roman"/>
          <w:sz w:val="24"/>
          <w:szCs w:val="24"/>
          <w:lang w:val="en-GB"/>
        </w:rPr>
        <w:t>,</w:t>
      </w:r>
      <w:r w:rsidR="00C43E05" w:rsidRPr="00250FF0">
        <w:rPr>
          <w:rFonts w:ascii="Times New Roman" w:hAnsi="Times New Roman"/>
          <w:sz w:val="24"/>
          <w:szCs w:val="24"/>
          <w:vertAlign w:val="superscript"/>
          <w:lang w:val="en-GB"/>
        </w:rPr>
        <w:t>6</w:t>
      </w:r>
      <w:proofErr w:type="gramEnd"/>
      <w:r w:rsidRPr="00250FF0">
        <w:rPr>
          <w:rFonts w:ascii="Times New Roman" w:hAnsi="Times New Roman"/>
          <w:sz w:val="24"/>
          <w:szCs w:val="24"/>
          <w:lang w:val="en-GB"/>
        </w:rPr>
        <w:t xml:space="preserve"> but considering </w:t>
      </w:r>
      <w:r w:rsidR="00CC6C72" w:rsidRPr="00250FF0">
        <w:rPr>
          <w:rFonts w:ascii="Times New Roman" w:hAnsi="Times New Roman"/>
          <w:sz w:val="24"/>
          <w:szCs w:val="24"/>
          <w:lang w:val="en-GB"/>
        </w:rPr>
        <w:t xml:space="preserve">their </w:t>
      </w:r>
      <w:r w:rsidRPr="00250FF0">
        <w:rPr>
          <w:rFonts w:ascii="Times New Roman" w:hAnsi="Times New Roman"/>
          <w:sz w:val="24"/>
          <w:szCs w:val="24"/>
          <w:lang w:val="en-GB"/>
        </w:rPr>
        <w:t>different origin and history of their uses</w:t>
      </w:r>
      <w:r w:rsidR="00CC6C72" w:rsidRPr="00250FF0">
        <w:rPr>
          <w:rFonts w:ascii="Times New Roman" w:hAnsi="Times New Roman"/>
          <w:sz w:val="24"/>
          <w:szCs w:val="24"/>
          <w:lang w:val="en-GB"/>
        </w:rPr>
        <w:t>,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as well different management practices, the </w:t>
      </w:r>
      <w:r w:rsidR="00CC6C72" w:rsidRPr="00250FF0">
        <w:rPr>
          <w:rFonts w:ascii="Times New Roman" w:hAnsi="Times New Roman"/>
          <w:sz w:val="24"/>
          <w:szCs w:val="24"/>
          <w:lang w:val="en-GB"/>
        </w:rPr>
        <w:t>detected inconsistency was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expect</w:t>
      </w:r>
      <w:r w:rsidR="00CC6C72" w:rsidRPr="00250FF0">
        <w:rPr>
          <w:rFonts w:ascii="Times New Roman" w:hAnsi="Times New Roman"/>
          <w:sz w:val="24"/>
          <w:szCs w:val="24"/>
          <w:lang w:val="en-GB"/>
        </w:rPr>
        <w:t>able</w:t>
      </w:r>
      <w:r w:rsidRPr="00250FF0">
        <w:rPr>
          <w:rFonts w:ascii="Times New Roman" w:hAnsi="Times New Roman"/>
          <w:sz w:val="24"/>
          <w:szCs w:val="24"/>
          <w:lang w:val="en-GB"/>
        </w:rPr>
        <w:t>. However, for each of the initial clomazone concentration</w:t>
      </w:r>
      <w:r w:rsidR="00CC6C72" w:rsidRPr="00250FF0">
        <w:rPr>
          <w:rFonts w:ascii="Times New Roman" w:hAnsi="Times New Roman"/>
          <w:sz w:val="24"/>
          <w:szCs w:val="24"/>
          <w:lang w:val="en-GB"/>
        </w:rPr>
        <w:t>s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in the study,</w:t>
      </w:r>
      <w:r w:rsidR="00CC6C72" w:rsidRPr="00250FF0">
        <w:rPr>
          <w:rFonts w:ascii="Times New Roman" w:hAnsi="Times New Roman"/>
          <w:sz w:val="24"/>
          <w:szCs w:val="24"/>
          <w:lang w:val="en-GB"/>
        </w:rPr>
        <w:t xml:space="preserve"> the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50FF0">
        <w:rPr>
          <w:rFonts w:ascii="Times New Roman" w:hAnsi="Times New Roman"/>
          <w:i/>
          <w:sz w:val="24"/>
          <w:szCs w:val="24"/>
          <w:lang w:val="en-GB"/>
        </w:rPr>
        <w:t>H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value obtained for Regosol was higher than one obtained for Chernozem. The foregoing results indicate that Chernozem, with </w:t>
      </w:r>
      <w:r w:rsidR="00CC6C72" w:rsidRPr="00250FF0">
        <w:rPr>
          <w:rFonts w:ascii="Times New Roman" w:hAnsi="Times New Roman"/>
          <w:sz w:val="24"/>
          <w:szCs w:val="24"/>
          <w:lang w:val="en-GB"/>
        </w:rPr>
        <w:t>its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higher adsorption capacity than Regosol,</w:t>
      </w:r>
      <w:r w:rsidRPr="00250FF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250FF0">
        <w:rPr>
          <w:rFonts w:ascii="Times New Roman" w:hAnsi="Times New Roman"/>
          <w:sz w:val="24"/>
          <w:szCs w:val="24"/>
          <w:lang w:val="en-GB"/>
        </w:rPr>
        <w:t>show</w:t>
      </w:r>
      <w:r w:rsidR="00CC6C72" w:rsidRPr="00250FF0">
        <w:rPr>
          <w:rFonts w:ascii="Times New Roman" w:hAnsi="Times New Roman"/>
          <w:sz w:val="24"/>
          <w:szCs w:val="24"/>
          <w:lang w:val="en-GB"/>
        </w:rPr>
        <w:t>ed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C6C72" w:rsidRPr="00250FF0">
        <w:rPr>
          <w:rFonts w:ascii="Times New Roman" w:hAnsi="Times New Roman"/>
          <w:sz w:val="24"/>
          <w:szCs w:val="24"/>
          <w:lang w:val="en-GB"/>
        </w:rPr>
        <w:t>fewer tendencies to desorb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clomazone. </w:t>
      </w:r>
      <w:r w:rsidR="00CC6C72" w:rsidRPr="00250FF0">
        <w:rPr>
          <w:rFonts w:ascii="Times New Roman" w:hAnsi="Times New Roman"/>
          <w:sz w:val="24"/>
          <w:szCs w:val="24"/>
          <w:lang w:val="en-GB"/>
        </w:rPr>
        <w:t>Lower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clomazone desorption from Chernozem obtained for all initial pesticide concentration</w:t>
      </w:r>
      <w:r w:rsidR="00CC6C72" w:rsidRPr="00250FF0">
        <w:rPr>
          <w:rFonts w:ascii="Times New Roman" w:hAnsi="Times New Roman"/>
          <w:sz w:val="24"/>
          <w:szCs w:val="24"/>
          <w:lang w:val="en-GB"/>
        </w:rPr>
        <w:t>s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could also </w:t>
      </w:r>
      <w:r w:rsidR="00CC6C72" w:rsidRPr="00250FF0">
        <w:rPr>
          <w:rFonts w:ascii="Times New Roman" w:hAnsi="Times New Roman"/>
          <w:sz w:val="24"/>
          <w:szCs w:val="24"/>
          <w:lang w:val="en-GB"/>
        </w:rPr>
        <w:t xml:space="preserve">be related to the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higher </w:t>
      </w:r>
      <w:proofErr w:type="spellStart"/>
      <w:r w:rsidRPr="00250FF0">
        <w:rPr>
          <w:rFonts w:ascii="Times New Roman" w:hAnsi="Times New Roman"/>
          <w:i/>
          <w:sz w:val="24"/>
          <w:szCs w:val="24"/>
          <w:lang w:val="en-GB"/>
        </w:rPr>
        <w:t>K</w:t>
      </w:r>
      <w:r w:rsidRPr="00DA00A7">
        <w:rPr>
          <w:rFonts w:ascii="Times New Roman" w:hAnsi="Times New Roman"/>
          <w:sz w:val="24"/>
          <w:szCs w:val="24"/>
          <w:vertAlign w:val="subscript"/>
          <w:lang w:val="en-GB"/>
        </w:rPr>
        <w:t>f</w:t>
      </w:r>
      <w:proofErr w:type="spellEnd"/>
      <w:r w:rsidRPr="00DA00A7">
        <w:rPr>
          <w:rFonts w:ascii="Times New Roman" w:hAnsi="Times New Roman"/>
          <w:sz w:val="24"/>
          <w:szCs w:val="24"/>
          <w:vertAlign w:val="subscript"/>
          <w:lang w:val="en-GB"/>
        </w:rPr>
        <w:t xml:space="preserve"> (des)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values obtained for Chernozem (Table IV)</w:t>
      </w:r>
      <w:r w:rsidR="00CC6C72" w:rsidRPr="00250FF0">
        <w:rPr>
          <w:rFonts w:ascii="Times New Roman" w:hAnsi="Times New Roman"/>
          <w:sz w:val="24"/>
          <w:szCs w:val="24"/>
          <w:lang w:val="en-GB"/>
        </w:rPr>
        <w:t>,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compared to Regosol (Table III). </w:t>
      </w:r>
    </w:p>
    <w:p w14:paraId="496EC4B0" w14:textId="77777777" w:rsidR="004A2529" w:rsidRPr="00250FF0" w:rsidRDefault="00365DA3" w:rsidP="004A25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50FF0">
        <w:rPr>
          <w:rFonts w:ascii="Times New Roman" w:hAnsi="Times New Roman"/>
          <w:sz w:val="24"/>
          <w:szCs w:val="24"/>
          <w:lang w:val="en-GB"/>
        </w:rPr>
        <w:t>Concerning</w:t>
      </w:r>
      <w:r w:rsidR="004A2529" w:rsidRPr="00250FF0">
        <w:rPr>
          <w:rFonts w:ascii="Times New Roman" w:hAnsi="Times New Roman"/>
          <w:sz w:val="24"/>
          <w:szCs w:val="24"/>
          <w:lang w:val="en-GB"/>
        </w:rPr>
        <w:t xml:space="preserve"> the adsorption process, it seems that content of organic matter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in soil </w:t>
      </w:r>
      <w:r w:rsidR="004A2529" w:rsidRPr="00250FF0">
        <w:rPr>
          <w:rFonts w:ascii="Times New Roman" w:hAnsi="Times New Roman"/>
          <w:sz w:val="24"/>
          <w:szCs w:val="24"/>
          <w:lang w:val="en-GB"/>
        </w:rPr>
        <w:t xml:space="preserve">as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4A2529" w:rsidRPr="00250FF0">
        <w:rPr>
          <w:rFonts w:ascii="Times New Roman" w:hAnsi="Times New Roman"/>
          <w:sz w:val="24"/>
          <w:szCs w:val="24"/>
          <w:lang w:val="en-GB"/>
        </w:rPr>
        <w:t>dominant promoter of clomazone sorption to soil is negatively correlated to the desorbed clomazone amount in desorption process. Sorption hysteresis in soils has been reported for a large number of pesticides</w:t>
      </w:r>
      <w:proofErr w:type="gramStart"/>
      <w:r w:rsidR="004A2529" w:rsidRPr="00250FF0">
        <w:rPr>
          <w:rFonts w:ascii="Times New Roman" w:hAnsi="Times New Roman"/>
          <w:sz w:val="24"/>
          <w:szCs w:val="24"/>
          <w:lang w:val="en-GB"/>
        </w:rPr>
        <w:t>,</w:t>
      </w:r>
      <w:r w:rsidR="009F3452" w:rsidRPr="00250FF0">
        <w:rPr>
          <w:rFonts w:ascii="Times New Roman" w:hAnsi="Times New Roman"/>
          <w:sz w:val="24"/>
          <w:szCs w:val="24"/>
          <w:vertAlign w:val="superscript"/>
          <w:lang w:val="en-GB"/>
        </w:rPr>
        <w:t>19</w:t>
      </w:r>
      <w:proofErr w:type="gramEnd"/>
      <w:r w:rsidR="009F3452" w:rsidRPr="00250FF0">
        <w:rPr>
          <w:rFonts w:ascii="Times New Roman" w:hAnsi="Times New Roman"/>
          <w:sz w:val="24"/>
          <w:szCs w:val="24"/>
          <w:vertAlign w:val="superscript"/>
          <w:lang w:val="en-GB"/>
        </w:rPr>
        <w:t>-2</w:t>
      </w:r>
      <w:r w:rsidR="00BF7AE0" w:rsidRPr="00250FF0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="004A2529" w:rsidRPr="00250FF0">
        <w:rPr>
          <w:rFonts w:ascii="Times New Roman" w:hAnsi="Times New Roman"/>
          <w:sz w:val="24"/>
          <w:szCs w:val="24"/>
          <w:lang w:val="en-GB"/>
        </w:rPr>
        <w:t xml:space="preserve"> and several possible causes of this phenomenon have been proposed, such as chemical or biological transformation, </w:t>
      </w:r>
      <w:proofErr w:type="spellStart"/>
      <w:r w:rsidR="004A2529" w:rsidRPr="00250FF0">
        <w:rPr>
          <w:rFonts w:ascii="Times New Roman" w:hAnsi="Times New Roman"/>
          <w:sz w:val="24"/>
          <w:szCs w:val="24"/>
          <w:lang w:val="en-GB"/>
        </w:rPr>
        <w:t>nonequilibrium</w:t>
      </w:r>
      <w:proofErr w:type="spellEnd"/>
      <w:r w:rsidR="004A2529" w:rsidRPr="00250FF0">
        <w:rPr>
          <w:rFonts w:ascii="Times New Roman" w:hAnsi="Times New Roman"/>
          <w:sz w:val="24"/>
          <w:szCs w:val="24"/>
          <w:lang w:val="en-GB"/>
        </w:rPr>
        <w:t xml:space="preserve"> conditions, and high-energy bonding. However, during desorption experiments under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this </w:t>
      </w:r>
      <w:r w:rsidR="004A2529" w:rsidRPr="00250FF0">
        <w:rPr>
          <w:rFonts w:ascii="Times New Roman" w:hAnsi="Times New Roman"/>
          <w:sz w:val="24"/>
          <w:szCs w:val="24"/>
          <w:lang w:val="en-GB"/>
        </w:rPr>
        <w:t xml:space="preserve">presented study, there </w:t>
      </w:r>
      <w:r w:rsidRPr="00250FF0">
        <w:rPr>
          <w:rFonts w:ascii="Times New Roman" w:hAnsi="Times New Roman"/>
          <w:sz w:val="24"/>
          <w:szCs w:val="24"/>
          <w:lang w:val="en-GB"/>
        </w:rPr>
        <w:t>was</w:t>
      </w:r>
      <w:r w:rsidR="004A2529" w:rsidRPr="00250FF0">
        <w:rPr>
          <w:rFonts w:ascii="Times New Roman" w:hAnsi="Times New Roman"/>
          <w:sz w:val="24"/>
          <w:szCs w:val="24"/>
          <w:lang w:val="en-GB"/>
        </w:rPr>
        <w:t xml:space="preserve"> no evidence of clomazone degradation in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4A2529" w:rsidRPr="00250FF0">
        <w:rPr>
          <w:rFonts w:ascii="Times New Roman" w:hAnsi="Times New Roman"/>
          <w:sz w:val="24"/>
          <w:szCs w:val="24"/>
          <w:lang w:val="en-GB"/>
        </w:rPr>
        <w:t xml:space="preserve">obtained chromatograms. Furthermore, a preliminary kinetics </w:t>
      </w:r>
      <w:r w:rsidR="004A2529"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study </w:t>
      </w:r>
      <w:r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had </w:t>
      </w:r>
      <w:r w:rsidR="004A2529"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indicated that 24 h of equilibration was adequate to attain the equilibrium redistribution of clomazone in the soil/water system, so </w:t>
      </w:r>
      <w:r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that </w:t>
      </w:r>
      <w:r w:rsidRPr="00250FF0">
        <w:rPr>
          <w:rFonts w:ascii="Times New Roman" w:hAnsi="Times New Roman"/>
          <w:sz w:val="24"/>
          <w:szCs w:val="24"/>
          <w:lang w:val="en-GB"/>
        </w:rPr>
        <w:t>a</w:t>
      </w:r>
      <w:r w:rsidR="004A2529"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A2529" w:rsidRPr="00250FF0">
        <w:rPr>
          <w:rFonts w:ascii="Times New Roman" w:hAnsi="Times New Roman"/>
          <w:sz w:val="24"/>
          <w:szCs w:val="24"/>
          <w:lang w:val="en-GB"/>
        </w:rPr>
        <w:t>nonequilibrium</w:t>
      </w:r>
      <w:proofErr w:type="spellEnd"/>
      <w:r w:rsidR="004A2529" w:rsidRPr="00250FF0">
        <w:rPr>
          <w:rFonts w:ascii="Times New Roman" w:hAnsi="Times New Roman"/>
          <w:sz w:val="24"/>
          <w:szCs w:val="24"/>
          <w:lang w:val="en-GB"/>
        </w:rPr>
        <w:t xml:space="preserve"> hypothesis was excluded too. </w:t>
      </w:r>
      <w:r w:rsidRPr="00250FF0">
        <w:rPr>
          <w:rFonts w:ascii="Times New Roman" w:hAnsi="Times New Roman"/>
          <w:sz w:val="24"/>
          <w:szCs w:val="24"/>
          <w:lang w:val="en-GB"/>
        </w:rPr>
        <w:t>It is o</w:t>
      </w:r>
      <w:r w:rsidR="004A2529" w:rsidRPr="00250FF0">
        <w:rPr>
          <w:rFonts w:ascii="Times New Roman" w:hAnsi="Times New Roman"/>
          <w:sz w:val="24"/>
          <w:szCs w:val="24"/>
          <w:lang w:val="en-GB"/>
        </w:rPr>
        <w:t xml:space="preserve">bvious that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a </w:t>
      </w:r>
      <w:r w:rsidR="004A2529" w:rsidRPr="00250FF0">
        <w:rPr>
          <w:rFonts w:ascii="Times New Roman" w:hAnsi="Times New Roman"/>
          <w:sz w:val="24"/>
          <w:szCs w:val="24"/>
          <w:lang w:val="en-GB"/>
        </w:rPr>
        <w:t xml:space="preserve">high-energy bonding hypothesis may be the only one that could explain the obtained data. </w:t>
      </w:r>
    </w:p>
    <w:p w14:paraId="397C7AF7" w14:textId="77777777" w:rsidR="004A2529" w:rsidRPr="00250FF0" w:rsidRDefault="004A2529" w:rsidP="004A25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50FF0">
        <w:rPr>
          <w:rFonts w:ascii="Times New Roman" w:hAnsi="Times New Roman"/>
          <w:sz w:val="24"/>
          <w:szCs w:val="24"/>
          <w:lang w:val="en-GB"/>
        </w:rPr>
        <w:t>As Tables III and IV show, the irreversibility of the adsorption process in both soils increase</w:t>
      </w:r>
      <w:r w:rsidR="00E2452D" w:rsidRPr="00250FF0">
        <w:rPr>
          <w:rFonts w:ascii="Times New Roman" w:hAnsi="Times New Roman"/>
          <w:sz w:val="24"/>
          <w:szCs w:val="24"/>
          <w:lang w:val="en-GB"/>
        </w:rPr>
        <w:t>s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250FF0">
        <w:rPr>
          <w:rFonts w:ascii="Times New Roman" w:hAnsi="Times New Roman"/>
          <w:i/>
          <w:sz w:val="24"/>
          <w:szCs w:val="24"/>
          <w:lang w:val="en-GB"/>
        </w:rPr>
        <w:t xml:space="preserve">H </w:t>
      </w:r>
      <w:r w:rsidRPr="00250FF0">
        <w:rPr>
          <w:rFonts w:ascii="Times New Roman" w:hAnsi="Times New Roman"/>
          <w:sz w:val="24"/>
          <w:szCs w:val="24"/>
          <w:lang w:val="en-GB"/>
        </w:rPr>
        <w:t>coefficient decrease</w:t>
      </w:r>
      <w:r w:rsidR="00E2452D" w:rsidRPr="00250FF0">
        <w:rPr>
          <w:rFonts w:ascii="Times New Roman" w:hAnsi="Times New Roman"/>
          <w:sz w:val="24"/>
          <w:szCs w:val="24"/>
          <w:lang w:val="en-GB"/>
        </w:rPr>
        <w:t>s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) with </w:t>
      </w:r>
      <w:r w:rsidR="00E2452D" w:rsidRPr="00250FF0">
        <w:rPr>
          <w:rFonts w:ascii="Times New Roman" w:hAnsi="Times New Roman"/>
          <w:sz w:val="24"/>
          <w:szCs w:val="24"/>
          <w:lang w:val="en-GB"/>
        </w:rPr>
        <w:t>growing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initial clomazone concentration</w:t>
      </w:r>
      <w:r w:rsidR="00E2452D" w:rsidRPr="00250FF0">
        <w:rPr>
          <w:rFonts w:ascii="Times New Roman" w:hAnsi="Times New Roman"/>
          <w:sz w:val="24"/>
          <w:szCs w:val="24"/>
          <w:lang w:val="en-GB"/>
        </w:rPr>
        <w:t>s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, suggesting that desorption is </w:t>
      </w:r>
      <w:r w:rsidR="00E2452D" w:rsidRPr="00250FF0">
        <w:rPr>
          <w:rFonts w:ascii="Times New Roman" w:hAnsi="Times New Roman"/>
          <w:sz w:val="24"/>
          <w:szCs w:val="24"/>
          <w:lang w:val="en-GB"/>
        </w:rPr>
        <w:t>easier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at low</w:t>
      </w:r>
      <w:r w:rsidR="00E2452D" w:rsidRPr="00250FF0">
        <w:rPr>
          <w:rFonts w:ascii="Times New Roman" w:hAnsi="Times New Roman"/>
          <w:sz w:val="24"/>
          <w:szCs w:val="24"/>
          <w:lang w:val="en-GB"/>
        </w:rPr>
        <w:t>er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D022A" w:rsidRPr="00250FF0">
        <w:rPr>
          <w:rFonts w:ascii="Times New Roman" w:hAnsi="Times New Roman"/>
          <w:sz w:val="24"/>
          <w:szCs w:val="24"/>
          <w:lang w:val="en-GB"/>
        </w:rPr>
        <w:t>concentration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levels of</w:t>
      </w:r>
      <w:r w:rsidR="00E2452D" w:rsidRPr="00250FF0">
        <w:rPr>
          <w:rFonts w:ascii="Times New Roman" w:hAnsi="Times New Roman"/>
          <w:sz w:val="24"/>
          <w:szCs w:val="24"/>
          <w:lang w:val="en-GB"/>
        </w:rPr>
        <w:t xml:space="preserve"> the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herbicide. This finding could indicate that high-energy sorption sites in both soils are filled only at higher clomazone concentrations, wherein desorption from </w:t>
      </w:r>
      <w:r w:rsidR="00D02B58" w:rsidRPr="00250FF0">
        <w:rPr>
          <w:rFonts w:ascii="Times New Roman" w:hAnsi="Times New Roman"/>
          <w:sz w:val="24"/>
          <w:szCs w:val="24"/>
          <w:lang w:val="en-GB"/>
        </w:rPr>
        <w:t>that type of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centre</w:t>
      </w:r>
      <w:r w:rsidR="00D02B58" w:rsidRPr="00250FF0">
        <w:rPr>
          <w:rFonts w:ascii="Times New Roman" w:hAnsi="Times New Roman"/>
          <w:sz w:val="24"/>
          <w:szCs w:val="24"/>
          <w:lang w:val="en-GB"/>
        </w:rPr>
        <w:t>s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is much harder compar</w:t>
      </w:r>
      <w:r w:rsidR="00D02B58" w:rsidRPr="00250FF0">
        <w:rPr>
          <w:rFonts w:ascii="Times New Roman" w:hAnsi="Times New Roman"/>
          <w:sz w:val="24"/>
          <w:szCs w:val="24"/>
          <w:lang w:val="en-GB"/>
        </w:rPr>
        <w:t>ed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to low-</w:t>
      </w:r>
      <w:r w:rsidRPr="00250FF0">
        <w:rPr>
          <w:rFonts w:ascii="Times New Roman" w:hAnsi="Times New Roman"/>
          <w:sz w:val="24"/>
          <w:szCs w:val="24"/>
          <w:lang w:val="en-GB"/>
        </w:rPr>
        <w:lastRenderedPageBreak/>
        <w:t xml:space="preserve">energy binding centres. This phenomenon is particularly </w:t>
      </w:r>
      <w:r w:rsidR="00D02B58" w:rsidRPr="00250FF0">
        <w:rPr>
          <w:rFonts w:ascii="Times New Roman" w:hAnsi="Times New Roman"/>
          <w:sz w:val="24"/>
          <w:szCs w:val="24"/>
          <w:lang w:val="en-GB"/>
        </w:rPr>
        <w:t>visible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in Chernozem</w:t>
      </w:r>
      <w:r w:rsidR="00D02B58" w:rsidRPr="00250FF0">
        <w:rPr>
          <w:rFonts w:ascii="Times New Roman" w:hAnsi="Times New Roman"/>
          <w:sz w:val="24"/>
          <w:szCs w:val="24"/>
          <w:lang w:val="en-GB"/>
        </w:rPr>
        <w:t>,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02B58" w:rsidRPr="00250FF0">
        <w:rPr>
          <w:rFonts w:ascii="Times New Roman" w:hAnsi="Times New Roman"/>
          <w:sz w:val="24"/>
          <w:szCs w:val="24"/>
          <w:lang w:val="en-GB"/>
        </w:rPr>
        <w:t>which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is not surprising considering </w:t>
      </w:r>
      <w:r w:rsidR="00D02B58" w:rsidRPr="00250FF0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250FF0">
        <w:rPr>
          <w:rFonts w:ascii="Times New Roman" w:hAnsi="Times New Roman"/>
          <w:sz w:val="24"/>
          <w:szCs w:val="24"/>
          <w:lang w:val="en-GB"/>
        </w:rPr>
        <w:t>higher contents of both OC and clay in th</w:t>
      </w:r>
      <w:r w:rsidR="00D02B58" w:rsidRPr="00250FF0">
        <w:rPr>
          <w:rFonts w:ascii="Times New Roman" w:hAnsi="Times New Roman"/>
          <w:sz w:val="24"/>
          <w:szCs w:val="24"/>
          <w:lang w:val="en-GB"/>
        </w:rPr>
        <w:t xml:space="preserve">at </w:t>
      </w:r>
      <w:r w:rsidRPr="00250FF0">
        <w:rPr>
          <w:rFonts w:ascii="Times New Roman" w:hAnsi="Times New Roman"/>
          <w:sz w:val="24"/>
          <w:szCs w:val="24"/>
          <w:lang w:val="en-GB"/>
        </w:rPr>
        <w:t>soil</w:t>
      </w:r>
      <w:r w:rsidR="00D02B58" w:rsidRPr="00250FF0">
        <w:rPr>
          <w:rFonts w:ascii="Times New Roman" w:hAnsi="Times New Roman"/>
          <w:sz w:val="24"/>
          <w:szCs w:val="24"/>
          <w:lang w:val="en-GB"/>
        </w:rPr>
        <w:t>,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compar</w:t>
      </w:r>
      <w:r w:rsidR="00D02B58" w:rsidRPr="00250FF0">
        <w:rPr>
          <w:rFonts w:ascii="Times New Roman" w:hAnsi="Times New Roman"/>
          <w:sz w:val="24"/>
          <w:szCs w:val="24"/>
          <w:lang w:val="en-GB"/>
        </w:rPr>
        <w:t>ed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to Regosol.  </w:t>
      </w:r>
    </w:p>
    <w:p w14:paraId="77862633" w14:textId="1BEEFBC8" w:rsidR="004A2529" w:rsidRPr="00250FF0" w:rsidRDefault="004A2529" w:rsidP="0013442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50FF0">
        <w:rPr>
          <w:rFonts w:ascii="Times New Roman" w:hAnsi="Times New Roman"/>
          <w:sz w:val="24"/>
          <w:szCs w:val="24"/>
          <w:lang w:val="en-GB"/>
        </w:rPr>
        <w:t>The desorption percentage (</w:t>
      </w:r>
      <w:r w:rsidRPr="00250FF0">
        <w:rPr>
          <w:rFonts w:ascii="Times New Roman" w:hAnsi="Times New Roman"/>
          <w:i/>
          <w:sz w:val="24"/>
          <w:szCs w:val="24"/>
          <w:lang w:val="en-GB"/>
        </w:rPr>
        <w:t>D</w:t>
      </w:r>
      <w:r w:rsidRPr="00C36C9C">
        <w:rPr>
          <w:rFonts w:ascii="Times New Roman" w:hAnsi="Times New Roman"/>
          <w:sz w:val="24"/>
          <w:szCs w:val="24"/>
          <w:lang w:val="en-GB"/>
        </w:rPr>
        <w:t xml:space="preserve"> / %) </w:t>
      </w:r>
      <w:r w:rsidRPr="00250FF0">
        <w:rPr>
          <w:rFonts w:ascii="Times New Roman" w:hAnsi="Times New Roman"/>
          <w:sz w:val="24"/>
          <w:szCs w:val="24"/>
          <w:lang w:val="en-GB"/>
        </w:rPr>
        <w:t>for all three successive desorption steps</w:t>
      </w:r>
      <w:r w:rsidR="00150FA4" w:rsidRPr="00250FF0">
        <w:rPr>
          <w:rFonts w:ascii="Times New Roman" w:hAnsi="Times New Roman"/>
          <w:sz w:val="24"/>
          <w:szCs w:val="24"/>
          <w:lang w:val="en-GB"/>
        </w:rPr>
        <w:t>,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as well the total percentage of desorbed </w:t>
      </w:r>
      <w:r w:rsidR="00546059" w:rsidRPr="00250FF0">
        <w:rPr>
          <w:rFonts w:ascii="Times New Roman" w:hAnsi="Times New Roman"/>
          <w:sz w:val="24"/>
          <w:szCs w:val="24"/>
          <w:lang w:val="en-GB"/>
        </w:rPr>
        <w:t>herbicide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during all desorption cycles were calculated by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Eqs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. (4) </w:t>
      </w:r>
      <w:proofErr w:type="gramStart"/>
      <w:r w:rsidRPr="00250FF0">
        <w:rPr>
          <w:rFonts w:ascii="Times New Roman" w:hAnsi="Times New Roman"/>
          <w:sz w:val="24"/>
          <w:szCs w:val="24"/>
          <w:lang w:val="en-GB"/>
        </w:rPr>
        <w:t>and</w:t>
      </w:r>
      <w:proofErr w:type="gramEnd"/>
      <w:r w:rsidRPr="00250FF0">
        <w:rPr>
          <w:rFonts w:ascii="Times New Roman" w:hAnsi="Times New Roman"/>
          <w:sz w:val="24"/>
          <w:szCs w:val="24"/>
          <w:lang w:val="en-GB"/>
        </w:rPr>
        <w:t xml:space="preserve"> (5), and presented in Tables III and IV. </w:t>
      </w:r>
      <w:r w:rsidR="00CD5A4B" w:rsidRPr="00250FF0">
        <w:rPr>
          <w:rFonts w:ascii="Times New Roman" w:hAnsi="Times New Roman"/>
          <w:sz w:val="24"/>
          <w:szCs w:val="24"/>
          <w:lang w:val="en-GB"/>
        </w:rPr>
        <w:t>R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egardless of the </w:t>
      </w:r>
      <w:r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initial concentration of clomazone in </w:t>
      </w:r>
      <w:r w:rsidR="00CD5A4B"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the </w:t>
      </w:r>
      <w:r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adsorption-desorption study,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the amount desorbed </w:t>
      </w:r>
      <w:r w:rsidR="00CD5A4B" w:rsidRPr="00250FF0">
        <w:rPr>
          <w:rFonts w:ascii="Times New Roman" w:hAnsi="Times New Roman"/>
          <w:sz w:val="24"/>
          <w:szCs w:val="24"/>
          <w:lang w:val="en-GB"/>
        </w:rPr>
        <w:t xml:space="preserve">evidently </w:t>
      </w:r>
      <w:r w:rsidRPr="00250FF0">
        <w:rPr>
          <w:rFonts w:ascii="Times New Roman" w:hAnsi="Times New Roman"/>
          <w:sz w:val="24"/>
          <w:szCs w:val="24"/>
          <w:lang w:val="en-GB"/>
        </w:rPr>
        <w:t>decreased with subsequent desorption cycles. These results seem to confirm the hypothesis of bound residues</w:t>
      </w:r>
      <w:r w:rsidR="00DB2661" w:rsidRPr="00250FF0">
        <w:rPr>
          <w:rFonts w:ascii="Times New Roman" w:hAnsi="Times New Roman"/>
          <w:sz w:val="24"/>
          <w:szCs w:val="24"/>
          <w:lang w:val="en-GB"/>
        </w:rPr>
        <w:t xml:space="preserve">, specifying that some clomazone residues </w:t>
      </w:r>
      <w:r w:rsidR="00DF585D" w:rsidRPr="00250FF0">
        <w:rPr>
          <w:rFonts w:ascii="Times New Roman" w:hAnsi="Times New Roman"/>
          <w:sz w:val="24"/>
          <w:szCs w:val="24"/>
          <w:lang w:val="en-GB"/>
        </w:rPr>
        <w:t>remained</w:t>
      </w:r>
      <w:r w:rsidR="00DB2661" w:rsidRPr="00250FF0">
        <w:rPr>
          <w:rFonts w:ascii="Times New Roman" w:hAnsi="Times New Roman"/>
          <w:sz w:val="24"/>
          <w:szCs w:val="24"/>
          <w:lang w:val="en-GB"/>
        </w:rPr>
        <w:t xml:space="preserve"> strongly bound to soil </w:t>
      </w:r>
      <w:r w:rsidR="00DF585D" w:rsidRPr="00250FF0">
        <w:rPr>
          <w:rFonts w:ascii="Times New Roman" w:hAnsi="Times New Roman"/>
          <w:sz w:val="24"/>
          <w:szCs w:val="24"/>
          <w:lang w:val="en-GB"/>
        </w:rPr>
        <w:t>after adsorption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. Only the fraction of herbicide that was weakly bound to soil could be easily released during </w:t>
      </w:r>
      <w:r w:rsidR="00C34F6D" w:rsidRPr="00250FF0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250FF0">
        <w:rPr>
          <w:rFonts w:ascii="Times New Roman" w:hAnsi="Times New Roman"/>
          <w:sz w:val="24"/>
          <w:szCs w:val="24"/>
          <w:lang w:val="en-GB"/>
        </w:rPr>
        <w:t>desorption</w:t>
      </w:r>
      <w:r w:rsidR="00C34F6D" w:rsidRPr="00250FF0">
        <w:rPr>
          <w:rFonts w:ascii="Times New Roman" w:hAnsi="Times New Roman"/>
          <w:sz w:val="24"/>
          <w:szCs w:val="24"/>
          <w:lang w:val="en-GB"/>
        </w:rPr>
        <w:t xml:space="preserve"> process.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Considering </w:t>
      </w:r>
      <w:r w:rsidR="00986A37" w:rsidRPr="00250FF0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250FF0">
        <w:rPr>
          <w:rFonts w:ascii="Times New Roman" w:hAnsi="Times New Roman"/>
          <w:sz w:val="24"/>
          <w:szCs w:val="24"/>
          <w:lang w:val="en-GB"/>
        </w:rPr>
        <w:t>total amount of clomazone desorbed during all three consecutive desorption cycles in the study (</w:t>
      </w:r>
      <w:r w:rsidRPr="00250FF0">
        <w:rPr>
          <w:rFonts w:ascii="Times New Roman" w:hAnsi="Times New Roman"/>
          <w:i/>
          <w:sz w:val="24"/>
          <w:szCs w:val="24"/>
          <w:lang w:val="en-GB"/>
        </w:rPr>
        <w:t xml:space="preserve">D </w:t>
      </w:r>
      <w:r w:rsidRPr="00DA00A7">
        <w:rPr>
          <w:rFonts w:ascii="Times New Roman" w:hAnsi="Times New Roman"/>
          <w:sz w:val="24"/>
          <w:szCs w:val="24"/>
          <w:lang w:val="en-GB"/>
        </w:rPr>
        <w:t>(I-III))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, it </w:t>
      </w:r>
      <w:r w:rsidR="00986A37" w:rsidRPr="00250FF0">
        <w:rPr>
          <w:rFonts w:ascii="Times New Roman" w:hAnsi="Times New Roman"/>
          <w:sz w:val="24"/>
          <w:szCs w:val="24"/>
          <w:lang w:val="en-GB"/>
        </w:rPr>
        <w:t>seems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that this fraction is highly dependent on initial clomazone concentration. Decrease </w:t>
      </w:r>
      <w:r w:rsidR="00861BC4" w:rsidRPr="00250FF0">
        <w:rPr>
          <w:rFonts w:ascii="Times New Roman" w:hAnsi="Times New Roman"/>
          <w:sz w:val="24"/>
          <w:szCs w:val="24"/>
          <w:lang w:val="en-GB"/>
        </w:rPr>
        <w:t>in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50FF0">
        <w:rPr>
          <w:rFonts w:ascii="Times New Roman" w:hAnsi="Times New Roman"/>
          <w:i/>
          <w:sz w:val="24"/>
          <w:szCs w:val="24"/>
          <w:lang w:val="en-GB"/>
        </w:rPr>
        <w:t xml:space="preserve">D </w:t>
      </w:r>
      <w:r w:rsidRPr="00DA00A7">
        <w:rPr>
          <w:rFonts w:ascii="Times New Roman" w:hAnsi="Times New Roman"/>
          <w:sz w:val="24"/>
          <w:szCs w:val="24"/>
          <w:lang w:val="en-GB"/>
        </w:rPr>
        <w:t>(I-III)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values with </w:t>
      </w:r>
      <w:r w:rsidR="00861BC4" w:rsidRPr="00250FF0">
        <w:rPr>
          <w:rFonts w:ascii="Times New Roman" w:hAnsi="Times New Roman"/>
          <w:sz w:val="24"/>
          <w:szCs w:val="24"/>
          <w:lang w:val="en-GB"/>
        </w:rPr>
        <w:t xml:space="preserve">increasing </w:t>
      </w:r>
      <w:r w:rsidRPr="00250FF0">
        <w:rPr>
          <w:rFonts w:ascii="Times New Roman" w:hAnsi="Times New Roman"/>
          <w:sz w:val="24"/>
          <w:szCs w:val="24"/>
          <w:lang w:val="en-GB"/>
        </w:rPr>
        <w:t>initial clomazone concentration in the soil-solution system, indicat</w:t>
      </w:r>
      <w:r w:rsidR="00861BC4" w:rsidRPr="00250FF0">
        <w:rPr>
          <w:rFonts w:ascii="Times New Roman" w:hAnsi="Times New Roman"/>
          <w:sz w:val="24"/>
          <w:szCs w:val="24"/>
          <w:lang w:val="en-GB"/>
        </w:rPr>
        <w:t xml:space="preserve">e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that high-energy binding sites are limited, and progressive saturation of those sites occurs as the solute concentration increases. Actually, the mentioned strong adsorption resulted in </w:t>
      </w:r>
      <w:r w:rsidR="00861BC4" w:rsidRPr="00250FF0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hysteresis effect. </w:t>
      </w:r>
      <w:r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In general, for each concentration </w:t>
      </w:r>
      <w:r w:rsidR="00861BC4" w:rsidRPr="00250FF0">
        <w:rPr>
          <w:rFonts w:ascii="Times New Roman" w:eastAsia="TimesNewRomanPSMT" w:hAnsi="Times New Roman"/>
          <w:sz w:val="24"/>
          <w:szCs w:val="24"/>
          <w:lang w:val="en-GB"/>
        </w:rPr>
        <w:t>examined</w:t>
      </w:r>
      <w:r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 in </w:t>
      </w:r>
      <w:r w:rsidR="00861BC4"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the </w:t>
      </w:r>
      <w:r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desorption </w:t>
      </w:r>
      <w:proofErr w:type="gramStart"/>
      <w:r w:rsidRPr="00250FF0">
        <w:rPr>
          <w:rFonts w:ascii="Times New Roman" w:eastAsia="TimesNewRomanPSMT" w:hAnsi="Times New Roman"/>
          <w:sz w:val="24"/>
          <w:szCs w:val="24"/>
          <w:lang w:val="en-GB"/>
        </w:rPr>
        <w:t>study</w:t>
      </w:r>
      <w:r w:rsidR="00E27BBC">
        <w:rPr>
          <w:rFonts w:ascii="Times New Roman" w:eastAsia="TimesNewRomanPSMT" w:hAnsi="Times New Roman"/>
          <w:sz w:val="24"/>
          <w:szCs w:val="24"/>
          <w:lang w:val="en-GB"/>
        </w:rPr>
        <w:t>,</w:t>
      </w:r>
      <w:proofErr w:type="gramEnd"/>
      <w:r w:rsidR="00E27BBC">
        <w:rPr>
          <w:rFonts w:ascii="Times New Roman" w:eastAsia="TimesNewRomanPSMT" w:hAnsi="Times New Roman"/>
          <w:sz w:val="24"/>
          <w:szCs w:val="24"/>
          <w:lang w:val="en-GB"/>
        </w:rPr>
        <w:t xml:space="preserve"> </w:t>
      </w:r>
      <w:r w:rsidRPr="00250FF0">
        <w:rPr>
          <w:rFonts w:ascii="Times New Roman" w:eastAsia="TimesNewRomanPSMT" w:hAnsi="Times New Roman"/>
          <w:sz w:val="24"/>
          <w:szCs w:val="24"/>
          <w:lang w:val="en-GB"/>
        </w:rPr>
        <w:t xml:space="preserve">the </w:t>
      </w:r>
      <w:r w:rsidRPr="00250FF0">
        <w:rPr>
          <w:rFonts w:ascii="Times New Roman" w:hAnsi="Times New Roman"/>
          <w:i/>
          <w:sz w:val="24"/>
          <w:szCs w:val="24"/>
          <w:lang w:val="en-GB"/>
        </w:rPr>
        <w:t xml:space="preserve">D </w:t>
      </w:r>
      <w:r w:rsidRPr="00DA00A7">
        <w:rPr>
          <w:rFonts w:ascii="Times New Roman" w:hAnsi="Times New Roman"/>
          <w:sz w:val="24"/>
          <w:szCs w:val="24"/>
          <w:lang w:val="en-GB"/>
        </w:rPr>
        <w:t>(I-III)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values obtained for Regosol (32.67-35.58</w:t>
      </w:r>
      <w:r w:rsidR="00DA00A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50FF0">
        <w:rPr>
          <w:rFonts w:ascii="Times New Roman" w:hAnsi="Times New Roman"/>
          <w:sz w:val="24"/>
          <w:szCs w:val="24"/>
          <w:lang w:val="en-GB"/>
        </w:rPr>
        <w:t>%) were higher than for Chernozem (29.12-32.26</w:t>
      </w:r>
      <w:r w:rsidR="00DA00A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%). These results </w:t>
      </w:r>
      <w:r w:rsidR="0003209E" w:rsidRPr="00250FF0">
        <w:rPr>
          <w:rFonts w:ascii="Times New Roman" w:hAnsi="Times New Roman"/>
          <w:sz w:val="24"/>
          <w:szCs w:val="24"/>
          <w:lang w:val="en-GB"/>
        </w:rPr>
        <w:t>were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expect</w:t>
      </w:r>
      <w:r w:rsidR="0003209E" w:rsidRPr="00250FF0">
        <w:rPr>
          <w:rFonts w:ascii="Times New Roman" w:hAnsi="Times New Roman"/>
          <w:sz w:val="24"/>
          <w:szCs w:val="24"/>
          <w:lang w:val="en-GB"/>
        </w:rPr>
        <w:t>able</w:t>
      </w:r>
      <w:r w:rsidRPr="00250FF0">
        <w:rPr>
          <w:rFonts w:ascii="Times New Roman" w:hAnsi="Times New Roman"/>
          <w:sz w:val="24"/>
          <w:szCs w:val="24"/>
          <w:lang w:val="en-GB"/>
        </w:rPr>
        <w:t>, considering both</w:t>
      </w:r>
      <w:r w:rsidR="0003209E" w:rsidRPr="00250FF0">
        <w:rPr>
          <w:rFonts w:ascii="Times New Roman" w:hAnsi="Times New Roman"/>
          <w:sz w:val="24"/>
          <w:szCs w:val="24"/>
          <w:lang w:val="en-GB"/>
        </w:rPr>
        <w:t xml:space="preserve"> the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higher adsorption capacity (Table II) and l</w:t>
      </w:r>
      <w:r w:rsidR="0003209E" w:rsidRPr="00250FF0">
        <w:rPr>
          <w:rFonts w:ascii="Times New Roman" w:hAnsi="Times New Roman"/>
          <w:sz w:val="24"/>
          <w:szCs w:val="24"/>
          <w:lang w:val="en-GB"/>
        </w:rPr>
        <w:t xml:space="preserve">ower </w:t>
      </w:r>
      <w:r w:rsidRPr="00250FF0">
        <w:rPr>
          <w:rFonts w:ascii="Times New Roman" w:hAnsi="Times New Roman"/>
          <w:sz w:val="24"/>
          <w:szCs w:val="24"/>
          <w:lang w:val="en-GB"/>
        </w:rPr>
        <w:t>desorption tendency of Chernozem (Table IV) compar</w:t>
      </w:r>
      <w:r w:rsidR="0003209E" w:rsidRPr="00250FF0">
        <w:rPr>
          <w:rFonts w:ascii="Times New Roman" w:hAnsi="Times New Roman"/>
          <w:sz w:val="24"/>
          <w:szCs w:val="24"/>
          <w:lang w:val="en-GB"/>
        </w:rPr>
        <w:t>ed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to Regosol (Table III). </w:t>
      </w:r>
    </w:p>
    <w:p w14:paraId="707475E0" w14:textId="77777777" w:rsidR="004A2529" w:rsidRPr="00250FF0" w:rsidRDefault="004A2529" w:rsidP="0013442A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14:paraId="3EDAFC40" w14:textId="77777777" w:rsidR="0013442A" w:rsidRPr="00250FF0" w:rsidRDefault="0013442A" w:rsidP="0013442A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val="en-GB"/>
        </w:rPr>
      </w:pPr>
      <w:r w:rsidRPr="00250FF0">
        <w:rPr>
          <w:rFonts w:ascii="Times New Roman" w:hAnsi="Times New Roman"/>
          <w:bCs/>
          <w:sz w:val="24"/>
          <w:szCs w:val="24"/>
          <w:lang w:val="en-GB"/>
        </w:rPr>
        <w:t>CONCLUSION</w:t>
      </w:r>
    </w:p>
    <w:p w14:paraId="720BF00C" w14:textId="77777777" w:rsidR="0013442A" w:rsidRPr="00250FF0" w:rsidRDefault="0013442A" w:rsidP="0013442A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val="en-GB"/>
        </w:rPr>
      </w:pPr>
    </w:p>
    <w:p w14:paraId="4F050388" w14:textId="77777777" w:rsidR="00134DDC" w:rsidRPr="00250FF0" w:rsidRDefault="0013442A" w:rsidP="001344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50FF0">
        <w:rPr>
          <w:rFonts w:ascii="Times New Roman" w:hAnsi="Times New Roman"/>
          <w:sz w:val="24"/>
          <w:szCs w:val="24"/>
          <w:lang w:val="en-GB"/>
        </w:rPr>
        <w:t xml:space="preserve">The study conducted on two typical agricultural soils in Serbia </w:t>
      </w:r>
      <w:r w:rsidR="00664787" w:rsidRPr="00250FF0">
        <w:rPr>
          <w:rFonts w:ascii="Times New Roman" w:hAnsi="Times New Roman"/>
          <w:sz w:val="24"/>
          <w:szCs w:val="24"/>
          <w:lang w:val="en-GB"/>
        </w:rPr>
        <w:t>broadened our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knowledge</w:t>
      </w:r>
      <w:r w:rsidR="00664787" w:rsidRPr="00250FF0">
        <w:rPr>
          <w:rFonts w:ascii="Times New Roman" w:hAnsi="Times New Roman"/>
          <w:sz w:val="24"/>
          <w:szCs w:val="24"/>
          <w:lang w:val="en-GB"/>
        </w:rPr>
        <w:t xml:space="preserve"> of the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sorption-desorption </w:t>
      </w:r>
      <w:r w:rsidR="00F8380D" w:rsidRPr="00250FF0">
        <w:rPr>
          <w:rFonts w:ascii="Times New Roman" w:hAnsi="Times New Roman"/>
          <w:sz w:val="24"/>
          <w:szCs w:val="24"/>
          <w:lang w:val="en-GB"/>
        </w:rPr>
        <w:t>behaviour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of clomazone which </w:t>
      </w:r>
      <w:r w:rsidR="00664787" w:rsidRPr="00250FF0">
        <w:rPr>
          <w:rFonts w:ascii="Times New Roman" w:hAnsi="Times New Roman"/>
          <w:sz w:val="24"/>
          <w:szCs w:val="24"/>
          <w:lang w:val="en-GB"/>
        </w:rPr>
        <w:t>considering its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intensive use, relatively high solubility in water, moderate mobility and persistence in soil</w:t>
      </w:r>
      <w:r w:rsidR="00664787" w:rsidRPr="00250FF0">
        <w:rPr>
          <w:rFonts w:ascii="Times New Roman" w:hAnsi="Times New Roman"/>
          <w:sz w:val="24"/>
          <w:szCs w:val="24"/>
          <w:lang w:val="en-GB"/>
        </w:rPr>
        <w:t>,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as well as </w:t>
      </w:r>
      <w:r w:rsidR="00664787" w:rsidRPr="00250FF0">
        <w:rPr>
          <w:rFonts w:ascii="Times New Roman" w:hAnsi="Times New Roman"/>
          <w:sz w:val="24"/>
          <w:szCs w:val="24"/>
          <w:lang w:val="en-GB"/>
        </w:rPr>
        <w:t xml:space="preserve">a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possibility </w:t>
      </w:r>
      <w:r w:rsidR="00664787" w:rsidRPr="00250FF0">
        <w:rPr>
          <w:rFonts w:ascii="Times New Roman" w:hAnsi="Times New Roman"/>
          <w:sz w:val="24"/>
          <w:szCs w:val="24"/>
          <w:lang w:val="en-GB"/>
        </w:rPr>
        <w:t>of causing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harmful effects on cultivated plants after crop rotation, could </w:t>
      </w:r>
      <w:r w:rsidR="00664787" w:rsidRPr="00250FF0">
        <w:rPr>
          <w:rFonts w:ascii="Times New Roman" w:hAnsi="Times New Roman"/>
          <w:sz w:val="24"/>
          <w:szCs w:val="24"/>
          <w:lang w:val="en-GB"/>
        </w:rPr>
        <w:t xml:space="preserve">be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classify as </w:t>
      </w:r>
      <w:r w:rsidR="00664787" w:rsidRPr="00250FF0">
        <w:rPr>
          <w:rFonts w:ascii="Times New Roman" w:hAnsi="Times New Roman"/>
          <w:sz w:val="24"/>
          <w:szCs w:val="24"/>
          <w:lang w:val="en-GB"/>
        </w:rPr>
        <w:t xml:space="preserve">a </w:t>
      </w:r>
      <w:r w:rsidRPr="00250FF0">
        <w:rPr>
          <w:rFonts w:ascii="Times New Roman" w:hAnsi="Times New Roman"/>
          <w:sz w:val="24"/>
          <w:szCs w:val="24"/>
          <w:lang w:val="en-GB"/>
        </w:rPr>
        <w:t>possible environmental contaminant of agricultural relevance. Clomazone was found to sorb more to organic matter than to the mineral fraction of soil. Al</w:t>
      </w:r>
      <w:r w:rsidR="00406A9B" w:rsidRPr="00250FF0">
        <w:rPr>
          <w:rFonts w:ascii="Times New Roman" w:hAnsi="Times New Roman"/>
          <w:sz w:val="24"/>
          <w:szCs w:val="24"/>
          <w:lang w:val="en-GB"/>
        </w:rPr>
        <w:t>though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Chernozem has been shown to have the higher adsorption capacity, at the same time </w:t>
      </w:r>
      <w:r w:rsidR="00406A9B" w:rsidRPr="00250FF0">
        <w:rPr>
          <w:rFonts w:ascii="Times New Roman" w:hAnsi="Times New Roman"/>
          <w:sz w:val="24"/>
          <w:szCs w:val="24"/>
          <w:lang w:val="en-GB"/>
        </w:rPr>
        <w:t xml:space="preserve">it </w:t>
      </w:r>
      <w:r w:rsidRPr="00250FF0">
        <w:rPr>
          <w:rFonts w:ascii="Times New Roman" w:hAnsi="Times New Roman"/>
          <w:sz w:val="24"/>
          <w:szCs w:val="24"/>
          <w:lang w:val="en-GB"/>
        </w:rPr>
        <w:t>show</w:t>
      </w:r>
      <w:r w:rsidR="00406A9B" w:rsidRPr="00250FF0">
        <w:rPr>
          <w:rFonts w:ascii="Times New Roman" w:hAnsi="Times New Roman"/>
          <w:sz w:val="24"/>
          <w:szCs w:val="24"/>
          <w:lang w:val="en-GB"/>
        </w:rPr>
        <w:t>ed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less tendency to desorb herbicide molecules </w:t>
      </w:r>
      <w:r w:rsidR="00406A9B" w:rsidRPr="00250FF0">
        <w:rPr>
          <w:rFonts w:ascii="Times New Roman" w:hAnsi="Times New Roman"/>
          <w:sz w:val="24"/>
          <w:szCs w:val="24"/>
          <w:lang w:val="en-GB"/>
        </w:rPr>
        <w:t>than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Regosol. The higher hysteresis effect (lower </w:t>
      </w:r>
      <w:r w:rsidRPr="00250FF0">
        <w:rPr>
          <w:rFonts w:ascii="Times New Roman" w:hAnsi="Times New Roman"/>
          <w:i/>
          <w:sz w:val="24"/>
          <w:szCs w:val="24"/>
          <w:lang w:val="en-GB"/>
        </w:rPr>
        <w:t>H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values) </w:t>
      </w:r>
      <w:r w:rsidR="00D66FC0" w:rsidRPr="00250FF0">
        <w:rPr>
          <w:rFonts w:ascii="Times New Roman" w:hAnsi="Times New Roman"/>
          <w:sz w:val="24"/>
          <w:szCs w:val="24"/>
          <w:lang w:val="en-GB"/>
        </w:rPr>
        <w:t xml:space="preserve">observed in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Chernozem could be </w:t>
      </w:r>
      <w:r w:rsidR="00741AA9" w:rsidRPr="00250FF0">
        <w:rPr>
          <w:rFonts w:ascii="Times New Roman" w:hAnsi="Times New Roman"/>
          <w:sz w:val="24"/>
          <w:szCs w:val="24"/>
          <w:lang w:val="en-GB"/>
        </w:rPr>
        <w:t>interpreted as supporting the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high-energy bonding hypothesis </w:t>
      </w:r>
      <w:r w:rsidR="00741AA9" w:rsidRPr="00250FF0">
        <w:rPr>
          <w:rFonts w:ascii="Times New Roman" w:hAnsi="Times New Roman"/>
          <w:sz w:val="24"/>
          <w:szCs w:val="24"/>
          <w:lang w:val="en-GB"/>
        </w:rPr>
        <w:t xml:space="preserve">which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implies </w:t>
      </w:r>
      <w:r w:rsidR="00741AA9" w:rsidRPr="00250FF0">
        <w:rPr>
          <w:rFonts w:ascii="Times New Roman" w:hAnsi="Times New Roman"/>
          <w:sz w:val="24"/>
          <w:szCs w:val="24"/>
          <w:lang w:val="en-GB"/>
        </w:rPr>
        <w:t>more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high-energy sorption sites in </w:t>
      </w:r>
      <w:r w:rsidR="00741AA9" w:rsidRPr="00250FF0">
        <w:rPr>
          <w:rFonts w:ascii="Times New Roman" w:hAnsi="Times New Roman"/>
          <w:sz w:val="24"/>
          <w:szCs w:val="24"/>
          <w:lang w:val="en-GB"/>
        </w:rPr>
        <w:t xml:space="preserve">that soil than in </w:t>
      </w:r>
      <w:r w:rsidRPr="00250FF0">
        <w:rPr>
          <w:rFonts w:ascii="Times New Roman" w:hAnsi="Times New Roman"/>
          <w:sz w:val="24"/>
          <w:szCs w:val="24"/>
          <w:lang w:val="en-GB"/>
        </w:rPr>
        <w:t>Regosol. Al</w:t>
      </w:r>
      <w:r w:rsidR="00741AA9" w:rsidRPr="00250FF0">
        <w:rPr>
          <w:rFonts w:ascii="Times New Roman" w:hAnsi="Times New Roman"/>
          <w:sz w:val="24"/>
          <w:szCs w:val="24"/>
          <w:lang w:val="en-GB"/>
        </w:rPr>
        <w:t xml:space="preserve">though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it has been shown that clomazone is potentially </w:t>
      </w:r>
      <w:r w:rsidR="00FE268C" w:rsidRPr="00250FF0">
        <w:rPr>
          <w:rFonts w:ascii="Times New Roman" w:hAnsi="Times New Roman"/>
          <w:sz w:val="24"/>
          <w:szCs w:val="24"/>
          <w:lang w:val="en-GB"/>
        </w:rPr>
        <w:t>a greater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contaminant of deeper soil layers</w:t>
      </w:r>
      <w:r w:rsidR="00FE268C" w:rsidRPr="00250FF0">
        <w:rPr>
          <w:rFonts w:ascii="Times New Roman" w:hAnsi="Times New Roman"/>
          <w:sz w:val="24"/>
          <w:szCs w:val="24"/>
          <w:lang w:val="en-GB"/>
        </w:rPr>
        <w:t>,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FE268C" w:rsidRPr="00250FF0">
        <w:rPr>
          <w:rFonts w:ascii="Times New Roman" w:hAnsi="Times New Roman"/>
          <w:sz w:val="24"/>
          <w:szCs w:val="24"/>
          <w:lang w:val="en-GB"/>
        </w:rPr>
        <w:lastRenderedPageBreak/>
        <w:t>consequently of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groundwater</w:t>
      </w:r>
      <w:r w:rsidR="00FE268C" w:rsidRPr="00250FF0">
        <w:rPr>
          <w:rFonts w:ascii="Times New Roman" w:hAnsi="Times New Roman"/>
          <w:sz w:val="24"/>
          <w:szCs w:val="24"/>
          <w:lang w:val="en-GB"/>
        </w:rPr>
        <w:t>,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when it</w:t>
      </w:r>
      <w:r w:rsidR="00FE268C" w:rsidRPr="00250FF0">
        <w:rPr>
          <w:rFonts w:ascii="Times New Roman" w:hAnsi="Times New Roman"/>
          <w:sz w:val="24"/>
          <w:szCs w:val="24"/>
          <w:lang w:val="en-GB"/>
        </w:rPr>
        <w:t xml:space="preserve"> is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found in soil with lower organic matter and clay contents, further studies are necessary to clarify the nature of </w:t>
      </w:r>
      <w:r w:rsidR="00FE268C" w:rsidRPr="00250FF0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binding forces acting on clomazone sorption </w:t>
      </w:r>
      <w:r w:rsidR="00FE268C" w:rsidRPr="00250FF0">
        <w:rPr>
          <w:rFonts w:ascii="Times New Roman" w:hAnsi="Times New Roman"/>
          <w:sz w:val="24"/>
          <w:szCs w:val="24"/>
          <w:lang w:val="en-GB"/>
        </w:rPr>
        <w:t>in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soils.</w:t>
      </w:r>
    </w:p>
    <w:p w14:paraId="0E6545F6" w14:textId="77777777" w:rsidR="00134DDC" w:rsidRPr="00250FF0" w:rsidRDefault="00134DDC" w:rsidP="001344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E39A1C4" w14:textId="77777777" w:rsidR="00134DDC" w:rsidRPr="00250FF0" w:rsidRDefault="00134DDC" w:rsidP="00134D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50FF0">
        <w:rPr>
          <w:rFonts w:ascii="Times New Roman" w:hAnsi="Times New Roman"/>
          <w:i/>
          <w:sz w:val="24"/>
          <w:szCs w:val="24"/>
          <w:lang w:val="en-GB"/>
        </w:rPr>
        <w:t>Acknowledgements: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This study was funded by the Ministry of Education, Science and Technological Development of the Republic of Serbia (Grant Nos. </w:t>
      </w:r>
      <w:proofErr w:type="gramStart"/>
      <w:r w:rsidRPr="00250FF0">
        <w:rPr>
          <w:rFonts w:ascii="Times New Roman" w:hAnsi="Times New Roman"/>
          <w:sz w:val="24"/>
          <w:szCs w:val="24"/>
          <w:lang w:val="en-GB"/>
        </w:rPr>
        <w:t>TR31043, OI176010 and III43005).</w:t>
      </w:r>
      <w:proofErr w:type="gramEnd"/>
    </w:p>
    <w:p w14:paraId="63FFCD45" w14:textId="77777777" w:rsidR="00B67FC2" w:rsidRPr="00F8380D" w:rsidRDefault="00B67FC2" w:rsidP="009618F3">
      <w:pPr>
        <w:widowControl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14:paraId="6772AD93" w14:textId="77777777" w:rsidR="008577CD" w:rsidRPr="00250FF0" w:rsidRDefault="008577CD" w:rsidP="009618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GaramondPremrPro" w:hAnsi="Times New Roman"/>
          <w:sz w:val="24"/>
          <w:szCs w:val="24"/>
          <w:lang w:val="en-GB"/>
        </w:rPr>
      </w:pPr>
    </w:p>
    <w:p w14:paraId="3579D49E" w14:textId="77777777" w:rsidR="00730E66" w:rsidRPr="00250FF0" w:rsidRDefault="00730E66" w:rsidP="009618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GaramondPremrPro" w:hAnsi="Times New Roman"/>
          <w:sz w:val="24"/>
          <w:szCs w:val="24"/>
          <w:lang w:val="en-GB"/>
        </w:rPr>
      </w:pPr>
    </w:p>
    <w:p w14:paraId="1DDE80AD" w14:textId="77777777" w:rsidR="00730E66" w:rsidRPr="00250FF0" w:rsidRDefault="00730E66" w:rsidP="009618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GaramondPremrPro" w:hAnsi="Times New Roman"/>
          <w:sz w:val="24"/>
          <w:szCs w:val="24"/>
          <w:lang w:val="en-GB"/>
        </w:rPr>
      </w:pPr>
    </w:p>
    <w:p w14:paraId="7BFB2710" w14:textId="77777777" w:rsidR="00730E66" w:rsidRPr="00250FF0" w:rsidRDefault="00730E66" w:rsidP="009618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GaramondPremrPro" w:hAnsi="Times New Roman"/>
          <w:sz w:val="24"/>
          <w:szCs w:val="24"/>
          <w:lang w:val="en-GB"/>
        </w:rPr>
      </w:pPr>
    </w:p>
    <w:p w14:paraId="6D16962F" w14:textId="77777777" w:rsidR="00730E66" w:rsidRPr="00250FF0" w:rsidRDefault="00730E66" w:rsidP="009618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GaramondPremrPro" w:hAnsi="Times New Roman"/>
          <w:sz w:val="24"/>
          <w:szCs w:val="24"/>
          <w:lang w:val="en-GB"/>
        </w:rPr>
      </w:pPr>
    </w:p>
    <w:p w14:paraId="168C6F34" w14:textId="77777777" w:rsidR="00730E66" w:rsidRPr="00250FF0" w:rsidRDefault="00730E66" w:rsidP="009618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GaramondPremrPro" w:hAnsi="Times New Roman"/>
          <w:sz w:val="24"/>
          <w:szCs w:val="24"/>
          <w:lang w:val="en-GB"/>
        </w:rPr>
      </w:pPr>
    </w:p>
    <w:p w14:paraId="2492E78C" w14:textId="77777777" w:rsidR="00730E66" w:rsidRPr="00250FF0" w:rsidRDefault="00730E66" w:rsidP="009618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GaramondPremrPro" w:hAnsi="Times New Roman"/>
          <w:sz w:val="24"/>
          <w:szCs w:val="24"/>
          <w:lang w:val="en-GB"/>
        </w:rPr>
      </w:pPr>
    </w:p>
    <w:p w14:paraId="32C9AE8A" w14:textId="77777777" w:rsidR="00730E66" w:rsidRPr="00250FF0" w:rsidRDefault="00730E66" w:rsidP="009618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GaramondPremrPro" w:hAnsi="Times New Roman"/>
          <w:sz w:val="24"/>
          <w:szCs w:val="24"/>
          <w:lang w:val="en-GB"/>
        </w:rPr>
      </w:pPr>
    </w:p>
    <w:p w14:paraId="7E39C550" w14:textId="77777777" w:rsidR="00730E66" w:rsidRPr="00250FF0" w:rsidRDefault="00730E66" w:rsidP="009618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GaramondPremrPro" w:hAnsi="Times New Roman"/>
          <w:sz w:val="24"/>
          <w:szCs w:val="24"/>
          <w:lang w:val="en-GB"/>
        </w:rPr>
      </w:pPr>
    </w:p>
    <w:p w14:paraId="09537E75" w14:textId="77777777" w:rsidR="00730E66" w:rsidRPr="00250FF0" w:rsidRDefault="00730E66" w:rsidP="009618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GaramondPremrPro" w:hAnsi="Times New Roman"/>
          <w:sz w:val="24"/>
          <w:szCs w:val="24"/>
          <w:lang w:val="en-GB"/>
        </w:rPr>
      </w:pPr>
    </w:p>
    <w:p w14:paraId="632713A9" w14:textId="77777777" w:rsidR="00730E66" w:rsidRPr="00250FF0" w:rsidRDefault="00730E66" w:rsidP="009618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GaramondPremrPro" w:hAnsi="Times New Roman"/>
          <w:sz w:val="24"/>
          <w:szCs w:val="24"/>
          <w:lang w:val="en-GB"/>
        </w:rPr>
      </w:pPr>
    </w:p>
    <w:p w14:paraId="6D2A2D55" w14:textId="77777777" w:rsidR="00730E66" w:rsidRPr="00250FF0" w:rsidRDefault="00730E66" w:rsidP="009618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GaramondPremrPro" w:hAnsi="Times New Roman"/>
          <w:sz w:val="24"/>
          <w:szCs w:val="24"/>
          <w:lang w:val="en-GB"/>
        </w:rPr>
      </w:pPr>
    </w:p>
    <w:p w14:paraId="061A0826" w14:textId="77777777" w:rsidR="00730E66" w:rsidRPr="00250FF0" w:rsidRDefault="00730E66" w:rsidP="009618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GaramondPremrPro" w:hAnsi="Times New Roman"/>
          <w:sz w:val="24"/>
          <w:szCs w:val="24"/>
          <w:lang w:val="en-GB"/>
        </w:rPr>
      </w:pPr>
    </w:p>
    <w:p w14:paraId="2FB74D6E" w14:textId="77777777" w:rsidR="00730E66" w:rsidRPr="00250FF0" w:rsidRDefault="00730E66" w:rsidP="009618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GaramondPremrPro" w:hAnsi="Times New Roman"/>
          <w:sz w:val="24"/>
          <w:szCs w:val="24"/>
          <w:lang w:val="en-GB"/>
        </w:rPr>
      </w:pPr>
    </w:p>
    <w:p w14:paraId="26225492" w14:textId="77777777" w:rsidR="00730E66" w:rsidRPr="00250FF0" w:rsidRDefault="00730E66" w:rsidP="009618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GaramondPremrPro" w:hAnsi="Times New Roman"/>
          <w:sz w:val="24"/>
          <w:szCs w:val="24"/>
          <w:lang w:val="en-GB"/>
        </w:rPr>
      </w:pPr>
    </w:p>
    <w:p w14:paraId="0E133631" w14:textId="77777777" w:rsidR="00730E66" w:rsidRPr="00250FF0" w:rsidRDefault="00730E66" w:rsidP="009618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GaramondPremrPro" w:hAnsi="Times New Roman"/>
          <w:sz w:val="24"/>
          <w:szCs w:val="24"/>
          <w:lang w:val="en-GB"/>
        </w:rPr>
      </w:pPr>
    </w:p>
    <w:p w14:paraId="12129E6A" w14:textId="77777777" w:rsidR="008D1446" w:rsidRPr="00250FF0" w:rsidRDefault="008D1446" w:rsidP="009618F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F540D37" w14:textId="77777777" w:rsidR="00071167" w:rsidRPr="00250FF0" w:rsidRDefault="00071167" w:rsidP="009618F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68BE67A" w14:textId="77777777" w:rsidR="009D24B1" w:rsidRPr="00250FF0" w:rsidRDefault="009D24B1" w:rsidP="00E75C0E">
      <w:pPr>
        <w:spacing w:after="0" w:line="240" w:lineRule="auto"/>
        <w:rPr>
          <w:rFonts w:ascii="Times New Roman" w:hAnsi="Times New Roman"/>
          <w:sz w:val="14"/>
          <w:szCs w:val="24"/>
          <w:lang w:val="en-GB"/>
        </w:rPr>
      </w:pPr>
    </w:p>
    <w:p w14:paraId="40159496" w14:textId="77777777" w:rsidR="00DE4FF3" w:rsidRPr="00250FF0" w:rsidRDefault="00DE4FF3" w:rsidP="009D24B1">
      <w:pPr>
        <w:spacing w:after="0" w:line="360" w:lineRule="auto"/>
        <w:jc w:val="center"/>
        <w:rPr>
          <w:rFonts w:ascii="Times New Roman" w:hAnsi="Times New Roman"/>
          <w:szCs w:val="24"/>
          <w:lang w:val="en-GB"/>
        </w:rPr>
      </w:pPr>
    </w:p>
    <w:p w14:paraId="16F21629" w14:textId="77777777" w:rsidR="00DE4FF3" w:rsidRPr="00250FF0" w:rsidRDefault="00DE4FF3" w:rsidP="009D24B1">
      <w:pPr>
        <w:spacing w:after="0" w:line="360" w:lineRule="auto"/>
        <w:jc w:val="center"/>
        <w:rPr>
          <w:rFonts w:ascii="Times New Roman" w:hAnsi="Times New Roman"/>
          <w:szCs w:val="24"/>
          <w:lang w:val="en-GB"/>
        </w:rPr>
      </w:pPr>
    </w:p>
    <w:p w14:paraId="6048EA4D" w14:textId="77777777" w:rsidR="00DE4FF3" w:rsidRPr="00250FF0" w:rsidRDefault="00DE4FF3" w:rsidP="009D24B1">
      <w:pPr>
        <w:spacing w:after="0" w:line="360" w:lineRule="auto"/>
        <w:jc w:val="center"/>
        <w:rPr>
          <w:rFonts w:ascii="Times New Roman" w:hAnsi="Times New Roman"/>
          <w:szCs w:val="24"/>
          <w:lang w:val="en-GB"/>
        </w:rPr>
      </w:pPr>
    </w:p>
    <w:p w14:paraId="685169C8" w14:textId="77777777" w:rsidR="00DE4FF3" w:rsidRPr="00250FF0" w:rsidRDefault="00DE4FF3" w:rsidP="009D24B1">
      <w:pPr>
        <w:spacing w:after="0" w:line="360" w:lineRule="auto"/>
        <w:jc w:val="center"/>
        <w:rPr>
          <w:rFonts w:ascii="Times New Roman" w:hAnsi="Times New Roman"/>
          <w:szCs w:val="24"/>
          <w:lang w:val="en-GB"/>
        </w:rPr>
      </w:pPr>
    </w:p>
    <w:p w14:paraId="16540762" w14:textId="77777777" w:rsidR="00DE4FF3" w:rsidRPr="00250FF0" w:rsidRDefault="00DE4FF3" w:rsidP="009D24B1">
      <w:pPr>
        <w:spacing w:after="0" w:line="360" w:lineRule="auto"/>
        <w:jc w:val="center"/>
        <w:rPr>
          <w:rFonts w:ascii="Times New Roman" w:hAnsi="Times New Roman"/>
          <w:szCs w:val="24"/>
          <w:lang w:val="en-GB"/>
        </w:rPr>
      </w:pPr>
    </w:p>
    <w:p w14:paraId="30ABF965" w14:textId="77777777" w:rsidR="00DE4FF3" w:rsidRPr="00250FF0" w:rsidRDefault="00DE4FF3" w:rsidP="009D24B1">
      <w:pPr>
        <w:spacing w:after="0" w:line="360" w:lineRule="auto"/>
        <w:jc w:val="center"/>
        <w:rPr>
          <w:rFonts w:ascii="Times New Roman" w:hAnsi="Times New Roman"/>
          <w:szCs w:val="24"/>
          <w:lang w:val="en-GB"/>
        </w:rPr>
      </w:pPr>
    </w:p>
    <w:p w14:paraId="508B5369" w14:textId="77777777" w:rsidR="00DE4FF3" w:rsidRPr="00250FF0" w:rsidRDefault="00DE4FF3" w:rsidP="009D24B1">
      <w:pPr>
        <w:spacing w:after="0" w:line="360" w:lineRule="auto"/>
        <w:jc w:val="center"/>
        <w:rPr>
          <w:rFonts w:ascii="Times New Roman" w:hAnsi="Times New Roman"/>
          <w:szCs w:val="24"/>
          <w:lang w:val="en-GB"/>
        </w:rPr>
      </w:pPr>
    </w:p>
    <w:p w14:paraId="0C0BB412" w14:textId="77777777" w:rsidR="00DE4FF3" w:rsidRPr="00250FF0" w:rsidRDefault="00DE4FF3" w:rsidP="009D24B1">
      <w:pPr>
        <w:spacing w:after="0" w:line="360" w:lineRule="auto"/>
        <w:jc w:val="center"/>
        <w:rPr>
          <w:rFonts w:ascii="Times New Roman" w:hAnsi="Times New Roman"/>
          <w:szCs w:val="24"/>
          <w:lang w:val="en-GB"/>
        </w:rPr>
      </w:pPr>
    </w:p>
    <w:p w14:paraId="3807D09C" w14:textId="77777777" w:rsidR="009D24B1" w:rsidRPr="00250FF0" w:rsidRDefault="009D24B1" w:rsidP="009D24B1">
      <w:pPr>
        <w:spacing w:after="0" w:line="360" w:lineRule="auto"/>
        <w:jc w:val="center"/>
        <w:rPr>
          <w:rFonts w:ascii="Times New Roman" w:hAnsi="Times New Roman"/>
          <w:szCs w:val="24"/>
          <w:lang w:val="en-GB"/>
        </w:rPr>
      </w:pPr>
      <w:r w:rsidRPr="00250FF0">
        <w:rPr>
          <w:rFonts w:ascii="Times New Roman" w:hAnsi="Times New Roman"/>
          <w:szCs w:val="24"/>
          <w:lang w:val="en-GB"/>
        </w:rPr>
        <w:lastRenderedPageBreak/>
        <w:t>ИЗВОД</w:t>
      </w:r>
    </w:p>
    <w:p w14:paraId="1EDAC1BF" w14:textId="77777777" w:rsidR="001A196A" w:rsidRPr="00250FF0" w:rsidRDefault="001A196A" w:rsidP="001A196A">
      <w:pPr>
        <w:spacing w:after="0" w:line="360" w:lineRule="auto"/>
        <w:jc w:val="center"/>
        <w:rPr>
          <w:rFonts w:ascii="Times New Roman" w:hAnsi="Times New Roman"/>
          <w:szCs w:val="24"/>
          <w:lang w:val="en-GB"/>
        </w:rPr>
      </w:pPr>
      <w:r w:rsidRPr="00250FF0">
        <w:rPr>
          <w:rFonts w:ascii="Times New Roman" w:hAnsi="Times New Roman"/>
          <w:szCs w:val="24"/>
          <w:lang w:val="en-GB"/>
        </w:rPr>
        <w:t>АДСОРПЦИОНО-ДЕСОРПЦИОНО ПОНАШАЊЕ КЛОМАЗОНА У ПОЉОПРИВРЕДНИМ ЗЕМЉИШТИМА ТИПА РЕГОСОЛ И ЧЕРНОЗЕМ</w:t>
      </w:r>
    </w:p>
    <w:p w14:paraId="49478464" w14:textId="77777777" w:rsidR="001A196A" w:rsidRPr="00250FF0" w:rsidRDefault="001A196A" w:rsidP="001A196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250FF0">
        <w:rPr>
          <w:rFonts w:ascii="Times New Roman" w:hAnsi="Times New Roman"/>
          <w:sz w:val="24"/>
          <w:szCs w:val="24"/>
          <w:lang w:val="en-GB"/>
        </w:rPr>
        <w:t>РАДА Д. ЂУРОВИЋ-ПЕЈЧЕВ</w:t>
      </w:r>
      <w:r w:rsidRPr="00250FF0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250FF0">
        <w:rPr>
          <w:rFonts w:ascii="Times New Roman" w:hAnsi="Times New Roman"/>
          <w:sz w:val="24"/>
          <w:szCs w:val="24"/>
          <w:lang w:val="en-GB"/>
        </w:rPr>
        <w:t>, СВЈЕТЛАНА Б. РАДМАНОВИЋ</w:t>
      </w:r>
      <w:r w:rsidRPr="00250FF0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Pr="00250FF0">
        <w:rPr>
          <w:rFonts w:ascii="Times New Roman" w:hAnsi="Times New Roman"/>
          <w:sz w:val="24"/>
          <w:szCs w:val="24"/>
          <w:lang w:val="en-GB"/>
        </w:rPr>
        <w:t>, ЗОРИЦА П. ТОМИЋ</w:t>
      </w:r>
      <w:r w:rsidRPr="00250FF0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Pr="00250FF0">
        <w:rPr>
          <w:rFonts w:ascii="Times New Roman" w:hAnsi="Times New Roman"/>
          <w:sz w:val="24"/>
          <w:szCs w:val="24"/>
          <w:lang w:val="en-GB"/>
        </w:rPr>
        <w:t>, ЛАЗАР М. КАЛУЂЕРОВИЋ</w:t>
      </w:r>
      <w:r w:rsidRPr="00250FF0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="00757EC6" w:rsidRPr="00250FF0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250FF0">
        <w:rPr>
          <w:rFonts w:ascii="Times New Roman" w:hAnsi="Times New Roman"/>
          <w:sz w:val="24"/>
          <w:szCs w:val="24"/>
          <w:lang w:val="en-GB"/>
        </w:rPr>
        <w:t>ВОЈИСЛАВА П. БУРСИЋ</w:t>
      </w:r>
      <w:r w:rsidRPr="00250FF0"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  <w:r w:rsidR="00757EC6" w:rsidRPr="00250FF0">
        <w:rPr>
          <w:rFonts w:ascii="Times New Roman" w:hAnsi="Times New Roman"/>
          <w:sz w:val="24"/>
          <w:szCs w:val="24"/>
          <w:lang w:val="en-GB"/>
        </w:rPr>
        <w:t xml:space="preserve"> и ЉИЉАНА Р. ШАНТРИЋ</w:t>
      </w:r>
      <w:r w:rsidR="00757EC6" w:rsidRPr="00250FF0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57AEDF85" w14:textId="77777777" w:rsidR="001A196A" w:rsidRPr="00250FF0" w:rsidRDefault="001A196A" w:rsidP="001A196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250FF0">
        <w:rPr>
          <w:rFonts w:ascii="Times New Roman" w:hAnsi="Times New Roman"/>
          <w:i/>
          <w:sz w:val="24"/>
          <w:szCs w:val="24"/>
          <w:vertAlign w:val="superscript"/>
          <w:lang w:val="en-GB"/>
        </w:rPr>
        <w:t>1</w:t>
      </w:r>
      <w:r w:rsidRPr="00250FF0">
        <w:rPr>
          <w:rFonts w:ascii="Times New Roman" w:hAnsi="Times New Roman"/>
          <w:i/>
          <w:sz w:val="24"/>
          <w:szCs w:val="24"/>
          <w:lang w:val="en-GB"/>
        </w:rPr>
        <w:t xml:space="preserve">Интитут </w:t>
      </w:r>
      <w:proofErr w:type="spellStart"/>
      <w:r w:rsidRPr="00250FF0">
        <w:rPr>
          <w:rFonts w:ascii="Times New Roman" w:hAnsi="Times New Roman"/>
          <w:i/>
          <w:sz w:val="24"/>
          <w:szCs w:val="24"/>
          <w:lang w:val="en-GB"/>
        </w:rPr>
        <w:t>за</w:t>
      </w:r>
      <w:proofErr w:type="spellEnd"/>
      <w:r w:rsidRPr="00250FF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i/>
          <w:sz w:val="24"/>
          <w:szCs w:val="24"/>
          <w:lang w:val="en-GB"/>
        </w:rPr>
        <w:t>пестициде</w:t>
      </w:r>
      <w:proofErr w:type="spellEnd"/>
      <w:r w:rsidRPr="00250FF0">
        <w:rPr>
          <w:rFonts w:ascii="Times New Roman" w:hAnsi="Times New Roman"/>
          <w:i/>
          <w:sz w:val="24"/>
          <w:szCs w:val="24"/>
          <w:lang w:val="en-GB"/>
        </w:rPr>
        <w:t xml:space="preserve"> и </w:t>
      </w:r>
      <w:proofErr w:type="spellStart"/>
      <w:r w:rsidRPr="00250FF0">
        <w:rPr>
          <w:rFonts w:ascii="Times New Roman" w:hAnsi="Times New Roman"/>
          <w:i/>
          <w:sz w:val="24"/>
          <w:szCs w:val="24"/>
          <w:lang w:val="en-GB"/>
        </w:rPr>
        <w:t>заштиту</w:t>
      </w:r>
      <w:proofErr w:type="spellEnd"/>
      <w:r w:rsidRPr="00250FF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i/>
          <w:sz w:val="24"/>
          <w:szCs w:val="24"/>
          <w:lang w:val="en-GB"/>
        </w:rPr>
        <w:t>животне</w:t>
      </w:r>
      <w:proofErr w:type="spellEnd"/>
      <w:r w:rsidRPr="00250FF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i/>
          <w:sz w:val="24"/>
          <w:szCs w:val="24"/>
          <w:lang w:val="en-GB"/>
        </w:rPr>
        <w:t>средине</w:t>
      </w:r>
      <w:proofErr w:type="spellEnd"/>
      <w:r w:rsidRPr="00250FF0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proofErr w:type="spellStart"/>
      <w:r w:rsidRPr="00250FF0">
        <w:rPr>
          <w:rFonts w:ascii="Times New Roman" w:hAnsi="Times New Roman"/>
          <w:i/>
          <w:sz w:val="24"/>
          <w:szCs w:val="24"/>
          <w:lang w:val="en-GB"/>
        </w:rPr>
        <w:t>Банатска</w:t>
      </w:r>
      <w:proofErr w:type="spellEnd"/>
      <w:r w:rsidRPr="00250FF0">
        <w:rPr>
          <w:rFonts w:ascii="Times New Roman" w:hAnsi="Times New Roman"/>
          <w:i/>
          <w:sz w:val="24"/>
          <w:szCs w:val="24"/>
          <w:lang w:val="en-GB"/>
        </w:rPr>
        <w:t xml:space="preserve"> 31б, 11080 </w:t>
      </w:r>
      <w:proofErr w:type="spellStart"/>
      <w:r w:rsidRPr="00250FF0">
        <w:rPr>
          <w:rFonts w:ascii="Times New Roman" w:hAnsi="Times New Roman"/>
          <w:i/>
          <w:sz w:val="24"/>
          <w:szCs w:val="24"/>
          <w:lang w:val="en-GB"/>
        </w:rPr>
        <w:t>Београд</w:t>
      </w:r>
      <w:proofErr w:type="spellEnd"/>
      <w:r w:rsidRPr="00250FF0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proofErr w:type="spellStart"/>
      <w:r w:rsidRPr="00250FF0">
        <w:rPr>
          <w:rFonts w:ascii="Times New Roman" w:hAnsi="Times New Roman"/>
          <w:i/>
          <w:sz w:val="24"/>
          <w:szCs w:val="24"/>
          <w:lang w:val="en-GB"/>
        </w:rPr>
        <w:t>Србија</w:t>
      </w:r>
      <w:proofErr w:type="spellEnd"/>
      <w:r w:rsidRPr="00250FF0">
        <w:rPr>
          <w:rFonts w:ascii="Times New Roman" w:hAnsi="Times New Roman"/>
          <w:i/>
          <w:sz w:val="24"/>
          <w:szCs w:val="24"/>
          <w:lang w:val="en-GB"/>
        </w:rPr>
        <w:t xml:space="preserve">; </w:t>
      </w:r>
      <w:r w:rsidRPr="00250FF0">
        <w:rPr>
          <w:rFonts w:ascii="Times New Roman" w:hAnsi="Times New Roman"/>
          <w:i/>
          <w:sz w:val="24"/>
          <w:szCs w:val="24"/>
          <w:vertAlign w:val="superscript"/>
          <w:lang w:val="en-GB"/>
        </w:rPr>
        <w:t>2</w:t>
      </w:r>
      <w:r w:rsidRPr="00250FF0">
        <w:rPr>
          <w:rFonts w:ascii="Times New Roman" w:hAnsi="Times New Roman"/>
          <w:i/>
          <w:sz w:val="24"/>
          <w:szCs w:val="24"/>
          <w:lang w:val="en-GB"/>
        </w:rPr>
        <w:t xml:space="preserve">Пољопривредни </w:t>
      </w:r>
      <w:proofErr w:type="spellStart"/>
      <w:r w:rsidRPr="00250FF0">
        <w:rPr>
          <w:rFonts w:ascii="Times New Roman" w:hAnsi="Times New Roman"/>
          <w:i/>
          <w:sz w:val="24"/>
          <w:szCs w:val="24"/>
          <w:lang w:val="en-GB"/>
        </w:rPr>
        <w:t>факултет</w:t>
      </w:r>
      <w:proofErr w:type="spellEnd"/>
      <w:r w:rsidRPr="00250FF0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proofErr w:type="spellStart"/>
      <w:r w:rsidRPr="00250FF0">
        <w:rPr>
          <w:rFonts w:ascii="Times New Roman" w:hAnsi="Times New Roman"/>
          <w:i/>
          <w:sz w:val="24"/>
          <w:szCs w:val="24"/>
          <w:lang w:val="en-GB"/>
        </w:rPr>
        <w:t>Универзитет</w:t>
      </w:r>
      <w:proofErr w:type="spellEnd"/>
      <w:r w:rsidRPr="00250FF0">
        <w:rPr>
          <w:rFonts w:ascii="Times New Roman" w:hAnsi="Times New Roman"/>
          <w:i/>
          <w:sz w:val="24"/>
          <w:szCs w:val="24"/>
          <w:lang w:val="en-GB"/>
        </w:rPr>
        <w:t xml:space="preserve"> у </w:t>
      </w:r>
      <w:proofErr w:type="spellStart"/>
      <w:r w:rsidRPr="00250FF0">
        <w:rPr>
          <w:rFonts w:ascii="Times New Roman" w:hAnsi="Times New Roman"/>
          <w:i/>
          <w:sz w:val="24"/>
          <w:szCs w:val="24"/>
          <w:lang w:val="en-GB"/>
        </w:rPr>
        <w:t>Београду</w:t>
      </w:r>
      <w:proofErr w:type="spellEnd"/>
      <w:r w:rsidRPr="00250FF0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proofErr w:type="spellStart"/>
      <w:r w:rsidRPr="00250FF0">
        <w:rPr>
          <w:rFonts w:ascii="Times New Roman" w:hAnsi="Times New Roman"/>
          <w:i/>
          <w:sz w:val="24"/>
          <w:szCs w:val="24"/>
          <w:lang w:val="en-GB"/>
        </w:rPr>
        <w:t>Немањина</w:t>
      </w:r>
      <w:proofErr w:type="spellEnd"/>
      <w:r w:rsidRPr="00250FF0">
        <w:rPr>
          <w:rFonts w:ascii="Times New Roman" w:hAnsi="Times New Roman"/>
          <w:i/>
          <w:sz w:val="24"/>
          <w:szCs w:val="24"/>
          <w:lang w:val="en-GB"/>
        </w:rPr>
        <w:t xml:space="preserve"> 6, 11080 </w:t>
      </w:r>
      <w:proofErr w:type="spellStart"/>
      <w:r w:rsidRPr="00250FF0">
        <w:rPr>
          <w:rFonts w:ascii="Times New Roman" w:hAnsi="Times New Roman"/>
          <w:i/>
          <w:sz w:val="24"/>
          <w:szCs w:val="24"/>
          <w:lang w:val="en-GB"/>
        </w:rPr>
        <w:t>Београд</w:t>
      </w:r>
      <w:proofErr w:type="spellEnd"/>
      <w:r w:rsidRPr="00250FF0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proofErr w:type="spellStart"/>
      <w:r w:rsidRPr="00250FF0">
        <w:rPr>
          <w:rFonts w:ascii="Times New Roman" w:hAnsi="Times New Roman"/>
          <w:i/>
          <w:sz w:val="24"/>
          <w:szCs w:val="24"/>
          <w:lang w:val="en-GB"/>
        </w:rPr>
        <w:t>Србија</w:t>
      </w:r>
      <w:proofErr w:type="spellEnd"/>
      <w:r w:rsidRPr="00250FF0">
        <w:rPr>
          <w:rFonts w:ascii="Times New Roman" w:hAnsi="Times New Roman"/>
          <w:i/>
          <w:sz w:val="24"/>
          <w:szCs w:val="24"/>
          <w:lang w:val="en-GB"/>
        </w:rPr>
        <w:t xml:space="preserve">; </w:t>
      </w:r>
      <w:r w:rsidRPr="00250FF0">
        <w:rPr>
          <w:rFonts w:ascii="Times New Roman" w:hAnsi="Times New Roman"/>
          <w:i/>
          <w:sz w:val="24"/>
          <w:szCs w:val="24"/>
          <w:vertAlign w:val="superscript"/>
          <w:lang w:val="en-GB"/>
        </w:rPr>
        <w:t>3</w:t>
      </w:r>
      <w:r w:rsidRPr="00250FF0">
        <w:rPr>
          <w:rFonts w:ascii="Times New Roman" w:hAnsi="Times New Roman"/>
          <w:i/>
          <w:sz w:val="24"/>
          <w:szCs w:val="24"/>
          <w:lang w:val="en-GB"/>
        </w:rPr>
        <w:t xml:space="preserve">Пољопривредни </w:t>
      </w:r>
      <w:proofErr w:type="spellStart"/>
      <w:r w:rsidRPr="00250FF0">
        <w:rPr>
          <w:rFonts w:ascii="Times New Roman" w:hAnsi="Times New Roman"/>
          <w:i/>
          <w:sz w:val="24"/>
          <w:szCs w:val="24"/>
          <w:lang w:val="en-GB"/>
        </w:rPr>
        <w:t>факултет</w:t>
      </w:r>
      <w:proofErr w:type="spellEnd"/>
      <w:r w:rsidRPr="00250FF0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proofErr w:type="spellStart"/>
      <w:r w:rsidRPr="00250FF0">
        <w:rPr>
          <w:rFonts w:ascii="Times New Roman" w:hAnsi="Times New Roman"/>
          <w:i/>
          <w:sz w:val="24"/>
          <w:szCs w:val="24"/>
          <w:lang w:val="en-GB"/>
        </w:rPr>
        <w:t>Универзитет</w:t>
      </w:r>
      <w:proofErr w:type="spellEnd"/>
      <w:r w:rsidRPr="00250FF0">
        <w:rPr>
          <w:rFonts w:ascii="Times New Roman" w:hAnsi="Times New Roman"/>
          <w:i/>
          <w:sz w:val="24"/>
          <w:szCs w:val="24"/>
          <w:lang w:val="en-GB"/>
        </w:rPr>
        <w:t xml:space="preserve"> у </w:t>
      </w:r>
      <w:proofErr w:type="spellStart"/>
      <w:r w:rsidRPr="00250FF0">
        <w:rPr>
          <w:rFonts w:ascii="Times New Roman" w:hAnsi="Times New Roman"/>
          <w:i/>
          <w:sz w:val="24"/>
          <w:szCs w:val="24"/>
          <w:lang w:val="en-GB"/>
        </w:rPr>
        <w:t>Новом</w:t>
      </w:r>
      <w:proofErr w:type="spellEnd"/>
      <w:r w:rsidRPr="00250FF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i/>
          <w:sz w:val="24"/>
          <w:szCs w:val="24"/>
          <w:lang w:val="en-GB"/>
        </w:rPr>
        <w:t>Саду</w:t>
      </w:r>
      <w:proofErr w:type="spellEnd"/>
      <w:r w:rsidRPr="00250FF0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proofErr w:type="spellStart"/>
      <w:r w:rsidRPr="00250FF0">
        <w:rPr>
          <w:rFonts w:ascii="Times New Roman" w:hAnsi="Times New Roman"/>
          <w:i/>
          <w:sz w:val="24"/>
          <w:szCs w:val="24"/>
          <w:lang w:val="en-GB"/>
        </w:rPr>
        <w:t>Трг</w:t>
      </w:r>
      <w:proofErr w:type="spellEnd"/>
      <w:r w:rsidRPr="00250FF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i/>
          <w:sz w:val="24"/>
          <w:szCs w:val="24"/>
          <w:lang w:val="en-GB"/>
        </w:rPr>
        <w:t>Доситеја</w:t>
      </w:r>
      <w:proofErr w:type="spellEnd"/>
      <w:r w:rsidRPr="00250FF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i/>
          <w:sz w:val="24"/>
          <w:szCs w:val="24"/>
          <w:lang w:val="en-GB"/>
        </w:rPr>
        <w:t>Обрадовића</w:t>
      </w:r>
      <w:proofErr w:type="spellEnd"/>
      <w:r w:rsidRPr="00250FF0">
        <w:rPr>
          <w:rFonts w:ascii="Times New Roman" w:hAnsi="Times New Roman"/>
          <w:i/>
          <w:sz w:val="24"/>
          <w:szCs w:val="24"/>
          <w:lang w:val="en-GB"/>
        </w:rPr>
        <w:t xml:space="preserve"> 8, 21000 </w:t>
      </w:r>
      <w:proofErr w:type="spellStart"/>
      <w:r w:rsidRPr="00250FF0">
        <w:rPr>
          <w:rFonts w:ascii="Times New Roman" w:hAnsi="Times New Roman"/>
          <w:i/>
          <w:sz w:val="24"/>
          <w:szCs w:val="24"/>
          <w:lang w:val="en-GB"/>
        </w:rPr>
        <w:t>Нови</w:t>
      </w:r>
      <w:proofErr w:type="spellEnd"/>
      <w:r w:rsidRPr="00250FF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i/>
          <w:sz w:val="24"/>
          <w:szCs w:val="24"/>
          <w:lang w:val="en-GB"/>
        </w:rPr>
        <w:t>Сад</w:t>
      </w:r>
      <w:proofErr w:type="spellEnd"/>
      <w:r w:rsidRPr="00250FF0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proofErr w:type="spellStart"/>
      <w:r w:rsidRPr="00250FF0">
        <w:rPr>
          <w:rFonts w:ascii="Times New Roman" w:hAnsi="Times New Roman"/>
          <w:i/>
          <w:sz w:val="24"/>
          <w:szCs w:val="24"/>
          <w:lang w:val="en-GB"/>
        </w:rPr>
        <w:t>Србија</w:t>
      </w:r>
      <w:proofErr w:type="spellEnd"/>
    </w:p>
    <w:p w14:paraId="6AC1E06F" w14:textId="77777777" w:rsidR="001A196A" w:rsidRPr="00250FF0" w:rsidRDefault="001A196A" w:rsidP="001A196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2ACBEA7A" w14:textId="77777777" w:rsidR="00D85D8E" w:rsidRPr="00250FF0" w:rsidRDefault="001A196A" w:rsidP="001B156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proofErr w:type="gramStart"/>
      <w:r w:rsidRPr="00250FF0">
        <w:rPr>
          <w:rFonts w:ascii="Times New Roman" w:hAnsi="Times New Roman"/>
          <w:sz w:val="24"/>
          <w:szCs w:val="24"/>
          <w:lang w:val="en-GB"/>
        </w:rPr>
        <w:t>Испитивање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адсорпционог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и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десорпционог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понашања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пестицида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у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земљишту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је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веома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важно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разумевање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и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предвиђање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њиховог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кретања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и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даље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судбине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у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животној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средини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Узимајући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у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обзир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значај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кломазона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са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становишта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пољопривреде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и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потенцијалне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штетне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ефекте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које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може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имати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животну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средину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A67FE0" w:rsidRPr="00250FF0">
        <w:rPr>
          <w:rFonts w:ascii="Times New Roman" w:hAnsi="Times New Roman"/>
          <w:sz w:val="24"/>
          <w:szCs w:val="24"/>
          <w:lang w:val="sr-Cyrl-RS"/>
        </w:rPr>
        <w:t>ад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сорпционо-десорпционо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понашање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овог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хербицида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је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проучавано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у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Регосолу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и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Чернозему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као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два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широко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заступљена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типа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пољопривредног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земљишта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у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Србији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Оба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процеса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добро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могу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описати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Фројдлиховом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једначином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, а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резултати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указују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да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кломазон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много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више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везује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органску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материју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него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минералну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фракцију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земљишта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Чернозем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који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карактерише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већи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садржај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органске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материје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и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глине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везује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више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али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и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десорбује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мање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овог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хербицида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у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односу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Регосол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Већи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десорпциони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хистерезис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добијен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Чернозем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може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објаснити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већим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бројем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високо-енергетских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сорпционих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центара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присутних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у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овом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земљишту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у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односу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Регосол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Ефекат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хистерезиса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расте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оба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земљишта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са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повећањем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концентрације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кломазона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у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систему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земљиште-земљишни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раствор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при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чему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проценат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десорбоване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количине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пестицида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у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сваком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наредном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десорпционом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циклусу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смањује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250FF0">
        <w:rPr>
          <w:rFonts w:ascii="Times New Roman" w:hAnsi="Times New Roman"/>
          <w:sz w:val="24"/>
          <w:szCs w:val="24"/>
          <w:lang w:val="en-GB"/>
        </w:rPr>
        <w:t>Резултати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адсорпционо-десорпционих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експеримената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указују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да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понашање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и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судбина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кломазона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у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животној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средини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у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великој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мери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зависе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од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састава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земљишта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при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чему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је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очекивати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да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је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вероватноћа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контаминације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дубљих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слојева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земљишта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па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и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подземних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вода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значајно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мања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када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овај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хербицид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нађе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у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земљиштима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богатим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50FF0">
        <w:rPr>
          <w:rFonts w:ascii="Times New Roman" w:hAnsi="Times New Roman"/>
          <w:sz w:val="24"/>
          <w:szCs w:val="24"/>
          <w:lang w:val="en-GB"/>
        </w:rPr>
        <w:t>хумусом</w:t>
      </w:r>
      <w:proofErr w:type="spellEnd"/>
      <w:r w:rsidRPr="00250FF0">
        <w:rPr>
          <w:rFonts w:ascii="Times New Roman" w:hAnsi="Times New Roman"/>
          <w:sz w:val="24"/>
          <w:szCs w:val="24"/>
          <w:lang w:val="en-GB"/>
        </w:rPr>
        <w:t>.</w:t>
      </w:r>
      <w:proofErr w:type="gramEnd"/>
    </w:p>
    <w:p w14:paraId="6BEF103A" w14:textId="77777777" w:rsidR="003000F2" w:rsidRPr="00250FF0" w:rsidRDefault="003000F2" w:rsidP="001B1563">
      <w:pPr>
        <w:spacing w:after="0" w:line="360" w:lineRule="auto"/>
        <w:jc w:val="both"/>
        <w:rPr>
          <w:rFonts w:ascii="Times New Roman" w:hAnsi="Times New Roman"/>
          <w:lang w:val="en-GB"/>
        </w:rPr>
      </w:pPr>
    </w:p>
    <w:p w14:paraId="4D4E6CF7" w14:textId="77777777" w:rsidR="00730E66" w:rsidRPr="00250FF0" w:rsidRDefault="00730E66" w:rsidP="001B1563">
      <w:pPr>
        <w:spacing w:after="0" w:line="360" w:lineRule="auto"/>
        <w:jc w:val="both"/>
        <w:rPr>
          <w:rFonts w:ascii="Times New Roman" w:hAnsi="Times New Roman"/>
          <w:lang w:val="en-GB"/>
        </w:rPr>
      </w:pPr>
    </w:p>
    <w:p w14:paraId="54B72F26" w14:textId="77777777" w:rsidR="00730E66" w:rsidRPr="00250FF0" w:rsidRDefault="00730E66" w:rsidP="001B1563">
      <w:pPr>
        <w:spacing w:after="0" w:line="360" w:lineRule="auto"/>
        <w:jc w:val="both"/>
        <w:rPr>
          <w:rFonts w:ascii="Times New Roman" w:hAnsi="Times New Roman"/>
          <w:lang w:val="en-GB"/>
        </w:rPr>
      </w:pPr>
    </w:p>
    <w:p w14:paraId="1298A278" w14:textId="77777777" w:rsidR="00730E66" w:rsidRPr="00F8380D" w:rsidRDefault="00730E66" w:rsidP="001B1563">
      <w:pPr>
        <w:spacing w:after="0" w:line="360" w:lineRule="auto"/>
        <w:jc w:val="both"/>
        <w:rPr>
          <w:rFonts w:ascii="Times New Roman" w:hAnsi="Times New Roman"/>
          <w:lang w:val="en-GB"/>
        </w:rPr>
      </w:pPr>
    </w:p>
    <w:p w14:paraId="049D8B06" w14:textId="77777777" w:rsidR="00322E90" w:rsidRPr="00F8380D" w:rsidRDefault="00322E90" w:rsidP="00730E66">
      <w:pPr>
        <w:tabs>
          <w:tab w:val="left" w:pos="329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F8380D">
        <w:rPr>
          <w:rFonts w:ascii="Times New Roman" w:hAnsi="Times New Roman"/>
          <w:sz w:val="24"/>
          <w:szCs w:val="24"/>
          <w:lang w:val="en-GB"/>
        </w:rPr>
        <w:lastRenderedPageBreak/>
        <w:t xml:space="preserve">REFERENCES </w:t>
      </w:r>
    </w:p>
    <w:p w14:paraId="2AEB05DA" w14:textId="77777777" w:rsidR="00730E66" w:rsidRPr="00F8380D" w:rsidRDefault="00730E66" w:rsidP="00730E66">
      <w:pPr>
        <w:tabs>
          <w:tab w:val="left" w:pos="329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54C372B" w14:textId="77777777" w:rsidR="00730E66" w:rsidRPr="00F8380D" w:rsidRDefault="00730E66" w:rsidP="00730E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 w:rsidRPr="00F8380D">
        <w:rPr>
          <w:rFonts w:ascii="Times New Roman" w:hAnsi="Times New Roman"/>
          <w:noProof/>
          <w:sz w:val="24"/>
          <w:szCs w:val="24"/>
          <w:lang w:val="en-GB"/>
        </w:rPr>
        <w:t xml:space="preserve">C. MacBean, </w:t>
      </w:r>
      <w:r w:rsidRPr="00F8380D">
        <w:rPr>
          <w:rFonts w:ascii="Times New Roman" w:hAnsi="Times New Roman"/>
          <w:i/>
          <w:noProof/>
          <w:sz w:val="24"/>
          <w:szCs w:val="24"/>
          <w:lang w:val="en-GB"/>
        </w:rPr>
        <w:t>The Pesticide Manual, A World Compendium</w:t>
      </w:r>
      <w:r w:rsidRPr="00F8380D">
        <w:rPr>
          <w:rFonts w:ascii="Times New Roman" w:hAnsi="Times New Roman"/>
          <w:noProof/>
          <w:sz w:val="24"/>
          <w:szCs w:val="24"/>
          <w:lang w:val="en-GB"/>
        </w:rPr>
        <w:t>, 14th ed., British Crop Protection Council, Hampshire, UK, 2006 (ISBN: 1-901396-14-2)</w:t>
      </w:r>
    </w:p>
    <w:p w14:paraId="27ED1E3A" w14:textId="77777777" w:rsidR="00730E66" w:rsidRPr="00F8380D" w:rsidRDefault="00730E66" w:rsidP="00730E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 w:rsidRPr="00F8380D">
        <w:rPr>
          <w:rFonts w:ascii="Times New Roman" w:hAnsi="Times New Roman"/>
          <w:noProof/>
          <w:sz w:val="24"/>
          <w:szCs w:val="24"/>
          <w:lang w:val="en-GB"/>
        </w:rPr>
        <w:t xml:space="preserve">A. Andres, G. Concenço, G. Theisen, F. Vidotto, A. Ferrero,  </w:t>
      </w:r>
      <w:r w:rsidRPr="00F8380D">
        <w:rPr>
          <w:rFonts w:ascii="Times New Roman" w:hAnsi="Times New Roman"/>
          <w:i/>
          <w:noProof/>
          <w:sz w:val="24"/>
          <w:szCs w:val="24"/>
          <w:lang w:val="en-GB"/>
        </w:rPr>
        <w:t>Crop Prot.</w:t>
      </w:r>
      <w:r w:rsidRPr="00F8380D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Pr="00F8380D">
        <w:rPr>
          <w:rFonts w:ascii="Times New Roman" w:hAnsi="Times New Roman"/>
          <w:b/>
          <w:noProof/>
          <w:sz w:val="24"/>
          <w:szCs w:val="24"/>
          <w:lang w:val="en-GB"/>
        </w:rPr>
        <w:t>53</w:t>
      </w:r>
      <w:r w:rsidRPr="00F8380D">
        <w:rPr>
          <w:rFonts w:ascii="Times New Roman" w:hAnsi="Times New Roman"/>
          <w:noProof/>
          <w:sz w:val="24"/>
          <w:szCs w:val="24"/>
          <w:lang w:val="en-GB"/>
        </w:rPr>
        <w:t xml:space="preserve"> (2013) 103 (</w:t>
      </w:r>
      <w:hyperlink r:id="rId28" w:history="1">
        <w:r w:rsidRPr="00F8380D">
          <w:rPr>
            <w:rStyle w:val="Hyperlink"/>
            <w:rFonts w:ascii="Times New Roman" w:hAnsi="Times New Roman"/>
            <w:sz w:val="24"/>
            <w:szCs w:val="24"/>
            <w:lang w:val="en-GB"/>
          </w:rPr>
          <w:t>https://doi.org/10.1016/j.cropro.2013.06.012</w:t>
        </w:r>
      </w:hyperlink>
      <w:r w:rsidRPr="00F8380D">
        <w:rPr>
          <w:rFonts w:ascii="Times New Roman" w:hAnsi="Times New Roman"/>
          <w:sz w:val="24"/>
          <w:szCs w:val="24"/>
          <w:lang w:val="en-GB"/>
        </w:rPr>
        <w:t xml:space="preserve">) </w:t>
      </w:r>
    </w:p>
    <w:p w14:paraId="4EAD53FD" w14:textId="77777777" w:rsidR="00730E66" w:rsidRPr="00F8380D" w:rsidRDefault="00730E66" w:rsidP="00730E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 w:rsidRPr="00F8380D">
        <w:rPr>
          <w:rFonts w:ascii="Times New Roman" w:hAnsi="Times New Roman"/>
          <w:sz w:val="24"/>
          <w:szCs w:val="24"/>
          <w:lang w:val="en-GB"/>
        </w:rPr>
        <w:t xml:space="preserve">S. </w:t>
      </w:r>
      <w:proofErr w:type="spellStart"/>
      <w:r w:rsidRPr="00F8380D">
        <w:rPr>
          <w:rFonts w:ascii="Times New Roman" w:hAnsi="Times New Roman"/>
          <w:sz w:val="24"/>
          <w:szCs w:val="24"/>
          <w:lang w:val="en-GB"/>
        </w:rPr>
        <w:t>Hatrík</w:t>
      </w:r>
      <w:proofErr w:type="spellEnd"/>
      <w:r w:rsidRPr="00F8380D">
        <w:rPr>
          <w:rFonts w:ascii="Times New Roman" w:hAnsi="Times New Roman"/>
          <w:sz w:val="24"/>
          <w:szCs w:val="24"/>
          <w:lang w:val="en-GB"/>
        </w:rPr>
        <w:t xml:space="preserve">, J. </w:t>
      </w:r>
      <w:proofErr w:type="spellStart"/>
      <w:r w:rsidRPr="00F8380D">
        <w:rPr>
          <w:rFonts w:ascii="Times New Roman" w:hAnsi="Times New Roman"/>
          <w:sz w:val="24"/>
          <w:szCs w:val="24"/>
          <w:lang w:val="en-GB"/>
        </w:rPr>
        <w:t>Tekel</w:t>
      </w:r>
      <w:proofErr w:type="spellEnd"/>
      <w:r w:rsidRPr="00F8380D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F8380D">
        <w:rPr>
          <w:rFonts w:ascii="Times New Roman" w:hAnsi="Times New Roman"/>
          <w:i/>
          <w:iCs/>
          <w:sz w:val="24"/>
          <w:szCs w:val="24"/>
          <w:lang w:val="en-GB"/>
        </w:rPr>
        <w:t xml:space="preserve">J. </w:t>
      </w:r>
      <w:proofErr w:type="spellStart"/>
      <w:r w:rsidRPr="00F8380D">
        <w:rPr>
          <w:rFonts w:ascii="Times New Roman" w:hAnsi="Times New Roman"/>
          <w:i/>
          <w:iCs/>
          <w:sz w:val="24"/>
          <w:szCs w:val="24"/>
          <w:lang w:val="en-GB"/>
        </w:rPr>
        <w:t>Chromatog</w:t>
      </w:r>
      <w:proofErr w:type="spellEnd"/>
      <w:r w:rsidRPr="00F8380D">
        <w:rPr>
          <w:rFonts w:ascii="Times New Roman" w:hAnsi="Times New Roman"/>
          <w:i/>
          <w:iCs/>
          <w:sz w:val="24"/>
          <w:szCs w:val="24"/>
          <w:lang w:val="en-GB"/>
        </w:rPr>
        <w:t xml:space="preserve">. A </w:t>
      </w:r>
      <w:r w:rsidRPr="00F8380D">
        <w:rPr>
          <w:rFonts w:ascii="Times New Roman" w:hAnsi="Times New Roman"/>
          <w:b/>
          <w:bCs/>
          <w:sz w:val="24"/>
          <w:szCs w:val="24"/>
          <w:lang w:val="en-GB"/>
        </w:rPr>
        <w:t>733</w:t>
      </w:r>
      <w:r w:rsidRPr="00F8380D">
        <w:rPr>
          <w:rFonts w:ascii="Times New Roman" w:hAnsi="Times New Roman"/>
          <w:bCs/>
          <w:sz w:val="24"/>
          <w:szCs w:val="24"/>
          <w:lang w:val="en-GB"/>
        </w:rPr>
        <w:t xml:space="preserve"> (1996) </w:t>
      </w:r>
      <w:r w:rsidRPr="00F8380D">
        <w:rPr>
          <w:rFonts w:ascii="Times New Roman" w:hAnsi="Times New Roman"/>
          <w:sz w:val="24"/>
          <w:szCs w:val="24"/>
          <w:lang w:val="en-GB"/>
        </w:rPr>
        <w:t>217 (</w:t>
      </w:r>
      <w:hyperlink r:id="rId29" w:history="1">
        <w:r w:rsidRPr="00F8380D">
          <w:rPr>
            <w:rStyle w:val="Hyperlink"/>
            <w:rFonts w:ascii="Times New Roman" w:hAnsi="Times New Roman"/>
            <w:sz w:val="24"/>
            <w:szCs w:val="24"/>
            <w:lang w:val="en-GB"/>
          </w:rPr>
          <w:t>https://doi.org/10.1016/0021-9673(95)00725-3</w:t>
        </w:r>
      </w:hyperlink>
      <w:r w:rsidRPr="00F8380D">
        <w:rPr>
          <w:rFonts w:ascii="Times New Roman" w:hAnsi="Times New Roman"/>
          <w:sz w:val="24"/>
          <w:szCs w:val="24"/>
          <w:lang w:val="en-GB"/>
        </w:rPr>
        <w:t xml:space="preserve">) </w:t>
      </w:r>
      <w:r w:rsidRPr="00F8380D">
        <w:rPr>
          <w:rStyle w:val="Hyperlink"/>
          <w:rFonts w:ascii="Times New Roman" w:hAnsi="Times New Roman"/>
          <w:sz w:val="24"/>
          <w:szCs w:val="24"/>
          <w:lang w:val="en-GB"/>
        </w:rPr>
        <w:t xml:space="preserve"> </w:t>
      </w:r>
    </w:p>
    <w:p w14:paraId="6A7BDE3C" w14:textId="77777777" w:rsidR="00730E66" w:rsidRPr="00F8380D" w:rsidRDefault="00730E66" w:rsidP="00730E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 w:rsidRPr="00F8380D">
        <w:rPr>
          <w:rFonts w:ascii="Times New Roman" w:hAnsi="Times New Roman"/>
          <w:sz w:val="24"/>
          <w:szCs w:val="24"/>
          <w:lang w:val="en-GB"/>
        </w:rPr>
        <w:t xml:space="preserve">R. </w:t>
      </w:r>
      <w:proofErr w:type="spellStart"/>
      <w:r w:rsidRPr="00F8380D">
        <w:rPr>
          <w:rFonts w:ascii="Times New Roman" w:hAnsi="Times New Roman"/>
          <w:sz w:val="24"/>
          <w:szCs w:val="24"/>
          <w:lang w:val="en-GB"/>
        </w:rPr>
        <w:t>Wintersteiger</w:t>
      </w:r>
      <w:proofErr w:type="spellEnd"/>
      <w:r w:rsidRPr="00F8380D">
        <w:rPr>
          <w:rFonts w:ascii="Times New Roman" w:hAnsi="Times New Roman"/>
          <w:sz w:val="24"/>
          <w:szCs w:val="24"/>
          <w:lang w:val="en-GB"/>
        </w:rPr>
        <w:t xml:space="preserve">, B. </w:t>
      </w:r>
      <w:proofErr w:type="spellStart"/>
      <w:r w:rsidRPr="00F8380D">
        <w:rPr>
          <w:rFonts w:ascii="Times New Roman" w:hAnsi="Times New Roman"/>
          <w:sz w:val="24"/>
          <w:szCs w:val="24"/>
          <w:lang w:val="en-GB"/>
        </w:rPr>
        <w:t>Goger</w:t>
      </w:r>
      <w:proofErr w:type="spellEnd"/>
      <w:r w:rsidRPr="00F8380D">
        <w:rPr>
          <w:rFonts w:ascii="Times New Roman" w:hAnsi="Times New Roman"/>
          <w:sz w:val="24"/>
          <w:szCs w:val="24"/>
          <w:lang w:val="en-GB"/>
        </w:rPr>
        <w:t xml:space="preserve">, H. </w:t>
      </w:r>
      <w:proofErr w:type="spellStart"/>
      <w:r w:rsidRPr="00F8380D">
        <w:rPr>
          <w:rFonts w:ascii="Times New Roman" w:hAnsi="Times New Roman"/>
          <w:sz w:val="24"/>
          <w:szCs w:val="24"/>
          <w:lang w:val="en-GB"/>
        </w:rPr>
        <w:t>Krautgartner</w:t>
      </w:r>
      <w:proofErr w:type="spellEnd"/>
      <w:r w:rsidRPr="00F8380D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F8380D">
        <w:rPr>
          <w:rFonts w:ascii="Times New Roman" w:hAnsi="Times New Roman"/>
          <w:i/>
          <w:iCs/>
          <w:sz w:val="24"/>
          <w:szCs w:val="24"/>
          <w:lang w:val="en-GB"/>
        </w:rPr>
        <w:t xml:space="preserve">J. </w:t>
      </w:r>
      <w:proofErr w:type="spellStart"/>
      <w:r w:rsidRPr="00F8380D">
        <w:rPr>
          <w:rFonts w:ascii="Times New Roman" w:hAnsi="Times New Roman"/>
          <w:i/>
          <w:iCs/>
          <w:sz w:val="24"/>
          <w:szCs w:val="24"/>
          <w:lang w:val="en-GB"/>
        </w:rPr>
        <w:t>Chromatog</w:t>
      </w:r>
      <w:proofErr w:type="spellEnd"/>
      <w:r w:rsidRPr="00F8380D">
        <w:rPr>
          <w:rFonts w:ascii="Times New Roman" w:hAnsi="Times New Roman"/>
          <w:i/>
          <w:iCs/>
          <w:sz w:val="24"/>
          <w:szCs w:val="24"/>
          <w:lang w:val="en-GB"/>
        </w:rPr>
        <w:t>. A</w:t>
      </w:r>
      <w:r w:rsidRPr="00F8380D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F8380D">
        <w:rPr>
          <w:rFonts w:ascii="Times New Roman" w:hAnsi="Times New Roman"/>
          <w:b/>
          <w:bCs/>
          <w:sz w:val="24"/>
          <w:szCs w:val="24"/>
          <w:lang w:val="en-GB"/>
        </w:rPr>
        <w:t>846</w:t>
      </w:r>
      <w:r w:rsidRPr="00F8380D">
        <w:rPr>
          <w:rFonts w:ascii="Times New Roman" w:hAnsi="Times New Roman"/>
          <w:bCs/>
          <w:sz w:val="24"/>
          <w:szCs w:val="24"/>
          <w:lang w:val="en-GB"/>
        </w:rPr>
        <w:t xml:space="preserve"> (1999) </w:t>
      </w:r>
      <w:r w:rsidRPr="00F8380D">
        <w:rPr>
          <w:rFonts w:ascii="Times New Roman" w:hAnsi="Times New Roman"/>
          <w:sz w:val="24"/>
          <w:szCs w:val="24"/>
          <w:lang w:val="en-GB"/>
        </w:rPr>
        <w:t>349–357 (</w:t>
      </w:r>
      <w:hyperlink r:id="rId30" w:history="1">
        <w:r w:rsidRPr="00F8380D">
          <w:rPr>
            <w:rStyle w:val="Hyperlink"/>
            <w:rFonts w:ascii="Times New Roman" w:hAnsi="Times New Roman"/>
            <w:sz w:val="24"/>
            <w:szCs w:val="24"/>
            <w:lang w:val="en-GB"/>
          </w:rPr>
          <w:t>https://doi.org/10.1016/S0021-9673(99)00429-X</w:t>
        </w:r>
      </w:hyperlink>
      <w:r w:rsidRPr="00F8380D">
        <w:rPr>
          <w:rFonts w:ascii="Times New Roman" w:hAnsi="Times New Roman"/>
          <w:sz w:val="24"/>
          <w:szCs w:val="24"/>
          <w:lang w:val="en-GB"/>
        </w:rPr>
        <w:t xml:space="preserve">)     </w:t>
      </w:r>
    </w:p>
    <w:p w14:paraId="2D098F05" w14:textId="77777777" w:rsidR="00730E66" w:rsidRPr="00F8380D" w:rsidRDefault="00730E66" w:rsidP="00730E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 w:rsidRPr="00F8380D">
        <w:rPr>
          <w:rFonts w:ascii="Times New Roman" w:hAnsi="Times New Roman"/>
          <w:sz w:val="24"/>
          <w:szCs w:val="24"/>
          <w:lang w:val="en-GB"/>
        </w:rPr>
        <w:t xml:space="preserve">R. </w:t>
      </w:r>
      <w:proofErr w:type="spellStart"/>
      <w:r w:rsidRPr="00F8380D">
        <w:rPr>
          <w:rFonts w:ascii="Times New Roman" w:hAnsi="Times New Roman"/>
          <w:sz w:val="24"/>
          <w:szCs w:val="24"/>
          <w:lang w:val="en-GB"/>
        </w:rPr>
        <w:t>Zanella</w:t>
      </w:r>
      <w:proofErr w:type="spellEnd"/>
      <w:r w:rsidRPr="00F8380D">
        <w:rPr>
          <w:rFonts w:ascii="Times New Roman" w:hAnsi="Times New Roman"/>
          <w:sz w:val="24"/>
          <w:szCs w:val="24"/>
          <w:lang w:val="en-GB"/>
        </w:rPr>
        <w:t xml:space="preserve">, E. G. </w:t>
      </w:r>
      <w:proofErr w:type="spellStart"/>
      <w:r w:rsidRPr="00F8380D">
        <w:rPr>
          <w:rFonts w:ascii="Times New Roman" w:hAnsi="Times New Roman"/>
          <w:sz w:val="24"/>
          <w:szCs w:val="24"/>
          <w:lang w:val="en-GB"/>
        </w:rPr>
        <w:t>Primel</w:t>
      </w:r>
      <w:proofErr w:type="spellEnd"/>
      <w:r w:rsidRPr="00F8380D">
        <w:rPr>
          <w:rFonts w:ascii="Times New Roman" w:hAnsi="Times New Roman"/>
          <w:sz w:val="24"/>
          <w:szCs w:val="24"/>
          <w:lang w:val="en-GB"/>
        </w:rPr>
        <w:t xml:space="preserve">, F. F. </w:t>
      </w:r>
      <w:proofErr w:type="spellStart"/>
      <w:r w:rsidRPr="00F8380D">
        <w:rPr>
          <w:rFonts w:ascii="Times New Roman" w:hAnsi="Times New Roman"/>
          <w:sz w:val="24"/>
          <w:szCs w:val="24"/>
          <w:lang w:val="en-GB"/>
        </w:rPr>
        <w:t>Gonçalves</w:t>
      </w:r>
      <w:proofErr w:type="spellEnd"/>
      <w:r w:rsidRPr="00F8380D">
        <w:rPr>
          <w:rFonts w:ascii="Times New Roman" w:hAnsi="Times New Roman"/>
          <w:sz w:val="24"/>
          <w:szCs w:val="24"/>
          <w:lang w:val="en-GB"/>
        </w:rPr>
        <w:t xml:space="preserve">, M. H. S. </w:t>
      </w:r>
      <w:proofErr w:type="spellStart"/>
      <w:r w:rsidRPr="00F8380D">
        <w:rPr>
          <w:rFonts w:ascii="Times New Roman" w:hAnsi="Times New Roman"/>
          <w:sz w:val="24"/>
          <w:szCs w:val="24"/>
          <w:lang w:val="en-GB"/>
        </w:rPr>
        <w:t>Kurz</w:t>
      </w:r>
      <w:proofErr w:type="spellEnd"/>
      <w:r w:rsidRPr="00F8380D">
        <w:rPr>
          <w:rFonts w:ascii="Times New Roman" w:hAnsi="Times New Roman"/>
          <w:sz w:val="24"/>
          <w:szCs w:val="24"/>
          <w:lang w:val="en-GB"/>
        </w:rPr>
        <w:t xml:space="preserve">, C. M. </w:t>
      </w:r>
      <w:proofErr w:type="spellStart"/>
      <w:r w:rsidRPr="00F8380D">
        <w:rPr>
          <w:rFonts w:ascii="Times New Roman" w:hAnsi="Times New Roman"/>
          <w:sz w:val="24"/>
          <w:szCs w:val="24"/>
          <w:lang w:val="en-GB"/>
        </w:rPr>
        <w:t>Mistura</w:t>
      </w:r>
      <w:proofErr w:type="spellEnd"/>
      <w:r w:rsidRPr="00F8380D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F8380D">
        <w:rPr>
          <w:rFonts w:ascii="Times New Roman" w:hAnsi="Times New Roman"/>
          <w:i/>
          <w:iCs/>
          <w:sz w:val="24"/>
          <w:szCs w:val="24"/>
          <w:lang w:val="en-GB"/>
        </w:rPr>
        <w:t>J. Sep. Sci.</w:t>
      </w:r>
      <w:r w:rsidRPr="00F8380D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F8380D">
        <w:rPr>
          <w:rFonts w:ascii="Times New Roman" w:hAnsi="Times New Roman"/>
          <w:b/>
          <w:iCs/>
          <w:sz w:val="24"/>
          <w:szCs w:val="24"/>
          <w:lang w:val="en-GB"/>
        </w:rPr>
        <w:t>26</w:t>
      </w:r>
      <w:r w:rsidRPr="00F8380D">
        <w:rPr>
          <w:rFonts w:ascii="Times New Roman" w:hAnsi="Times New Roman"/>
          <w:iCs/>
          <w:sz w:val="24"/>
          <w:szCs w:val="24"/>
          <w:lang w:val="en-GB"/>
        </w:rPr>
        <w:t xml:space="preserve"> (2003) </w:t>
      </w:r>
      <w:r w:rsidRPr="00F8380D">
        <w:rPr>
          <w:rFonts w:ascii="Times New Roman" w:hAnsi="Times New Roman"/>
          <w:sz w:val="24"/>
          <w:szCs w:val="24"/>
          <w:lang w:val="en-GB"/>
        </w:rPr>
        <w:t>935 (</w:t>
      </w:r>
      <w:hyperlink r:id="rId31" w:history="1">
        <w:r w:rsidRPr="00F8380D">
          <w:rPr>
            <w:rStyle w:val="Hyperlink"/>
            <w:rFonts w:ascii="Times New Roman" w:hAnsi="Times New Roman"/>
            <w:sz w:val="24"/>
            <w:szCs w:val="24"/>
            <w:lang w:val="en-GB"/>
          </w:rPr>
          <w:t>https://doi.org/10.1002/jssc.200301309</w:t>
        </w:r>
      </w:hyperlink>
      <w:r w:rsidRPr="00F8380D">
        <w:rPr>
          <w:rFonts w:ascii="Times New Roman" w:hAnsi="Times New Roman"/>
          <w:sz w:val="24"/>
          <w:szCs w:val="24"/>
          <w:lang w:val="en-GB"/>
        </w:rPr>
        <w:t xml:space="preserve">) </w:t>
      </w:r>
    </w:p>
    <w:p w14:paraId="62C089E2" w14:textId="77777777" w:rsidR="00730E66" w:rsidRPr="00F8380D" w:rsidRDefault="00730E66" w:rsidP="00730E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 w:rsidRPr="00F8380D">
        <w:rPr>
          <w:rFonts w:ascii="Times New Roman" w:hAnsi="Times New Roman"/>
          <w:sz w:val="24"/>
          <w:szCs w:val="24"/>
          <w:lang w:val="en-GB"/>
        </w:rPr>
        <w:t xml:space="preserve">A. </w:t>
      </w:r>
      <w:proofErr w:type="spellStart"/>
      <w:r w:rsidRPr="00F8380D">
        <w:rPr>
          <w:rFonts w:ascii="Times New Roman" w:hAnsi="Times New Roman"/>
          <w:bCs/>
          <w:sz w:val="24"/>
          <w:szCs w:val="24"/>
          <w:lang w:val="en-GB"/>
        </w:rPr>
        <w:t>Gunasekara</w:t>
      </w:r>
      <w:proofErr w:type="spellEnd"/>
      <w:r w:rsidRPr="00F8380D">
        <w:rPr>
          <w:rFonts w:ascii="Times New Roman" w:hAnsi="Times New Roman"/>
          <w:bCs/>
          <w:sz w:val="24"/>
          <w:szCs w:val="24"/>
          <w:lang w:val="en-GB"/>
        </w:rPr>
        <w:t xml:space="preserve">, I. </w:t>
      </w:r>
      <w:proofErr w:type="spellStart"/>
      <w:r w:rsidRPr="00F8380D">
        <w:rPr>
          <w:rFonts w:ascii="Times New Roman" w:hAnsi="Times New Roman"/>
          <w:bCs/>
          <w:sz w:val="24"/>
          <w:szCs w:val="24"/>
          <w:lang w:val="en-GB"/>
        </w:rPr>
        <w:t>Dela</w:t>
      </w:r>
      <w:proofErr w:type="spellEnd"/>
      <w:r w:rsidRPr="00F8380D">
        <w:rPr>
          <w:rFonts w:ascii="Times New Roman" w:hAnsi="Times New Roman"/>
          <w:bCs/>
          <w:sz w:val="24"/>
          <w:szCs w:val="24"/>
          <w:lang w:val="en-GB"/>
        </w:rPr>
        <w:t xml:space="preserve"> Cruz, M. Curtis, V. Claassen, R. </w:t>
      </w:r>
      <w:proofErr w:type="spellStart"/>
      <w:r w:rsidRPr="00F8380D">
        <w:rPr>
          <w:rFonts w:ascii="Times New Roman" w:hAnsi="Times New Roman"/>
          <w:bCs/>
          <w:sz w:val="24"/>
          <w:szCs w:val="24"/>
          <w:lang w:val="en-GB"/>
        </w:rPr>
        <w:t>Tjeerdema</w:t>
      </w:r>
      <w:proofErr w:type="spellEnd"/>
      <w:r w:rsidRPr="00F8380D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r w:rsidRPr="00F8380D">
        <w:rPr>
          <w:rFonts w:ascii="Times New Roman" w:hAnsi="Times New Roman"/>
          <w:i/>
          <w:iCs/>
          <w:sz w:val="24"/>
          <w:szCs w:val="24"/>
          <w:lang w:val="en-GB"/>
        </w:rPr>
        <w:t xml:space="preserve">Pest. </w:t>
      </w:r>
      <w:proofErr w:type="spellStart"/>
      <w:r w:rsidRPr="00F8380D">
        <w:rPr>
          <w:rFonts w:ascii="Times New Roman" w:hAnsi="Times New Roman"/>
          <w:i/>
          <w:iCs/>
          <w:sz w:val="24"/>
          <w:szCs w:val="24"/>
          <w:lang w:val="en-GB"/>
        </w:rPr>
        <w:t>Manag</w:t>
      </w:r>
      <w:proofErr w:type="spellEnd"/>
      <w:r w:rsidRPr="00F8380D">
        <w:rPr>
          <w:rFonts w:ascii="Times New Roman" w:hAnsi="Times New Roman"/>
          <w:i/>
          <w:iCs/>
          <w:sz w:val="24"/>
          <w:szCs w:val="24"/>
          <w:lang w:val="en-GB"/>
        </w:rPr>
        <w:t xml:space="preserve">. Sci. </w:t>
      </w:r>
      <w:r w:rsidRPr="00F8380D">
        <w:rPr>
          <w:rFonts w:ascii="Times New Roman" w:hAnsi="Times New Roman"/>
          <w:b/>
          <w:iCs/>
          <w:sz w:val="24"/>
          <w:szCs w:val="24"/>
          <w:lang w:val="en-GB"/>
        </w:rPr>
        <w:t>65</w:t>
      </w:r>
      <w:r w:rsidRPr="00F8380D">
        <w:rPr>
          <w:rFonts w:ascii="Times New Roman" w:hAnsi="Times New Roman"/>
          <w:iCs/>
          <w:sz w:val="24"/>
          <w:szCs w:val="24"/>
          <w:lang w:val="en-GB"/>
        </w:rPr>
        <w:t xml:space="preserve"> </w:t>
      </w:r>
      <w:r w:rsidRPr="00F8380D">
        <w:rPr>
          <w:rFonts w:ascii="Times New Roman" w:hAnsi="Times New Roman"/>
          <w:bCs/>
          <w:sz w:val="24"/>
          <w:szCs w:val="24"/>
          <w:lang w:val="en-GB"/>
        </w:rPr>
        <w:t>(2008) 711 (</w:t>
      </w:r>
      <w:hyperlink r:id="rId32" w:history="1">
        <w:r w:rsidRPr="00F8380D">
          <w:rPr>
            <w:rStyle w:val="Hyperlink"/>
            <w:rFonts w:ascii="Times New Roman" w:hAnsi="Times New Roman"/>
            <w:bCs/>
            <w:sz w:val="24"/>
            <w:szCs w:val="24"/>
            <w:lang w:val="en-GB"/>
          </w:rPr>
          <w:t>https://doi.org/10.1002/ps.1733</w:t>
        </w:r>
      </w:hyperlink>
      <w:r w:rsidRPr="00F8380D">
        <w:rPr>
          <w:rFonts w:ascii="Times New Roman" w:hAnsi="Times New Roman"/>
          <w:bCs/>
          <w:sz w:val="24"/>
          <w:szCs w:val="24"/>
          <w:lang w:val="en-GB"/>
        </w:rPr>
        <w:t xml:space="preserve">) </w:t>
      </w:r>
    </w:p>
    <w:p w14:paraId="0F767F7E" w14:textId="77777777" w:rsidR="00730E66" w:rsidRPr="00F8380D" w:rsidRDefault="00730E66" w:rsidP="00730E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 w:rsidRPr="00F8380D">
        <w:rPr>
          <w:rFonts w:ascii="Times New Roman" w:hAnsi="Times New Roman"/>
          <w:noProof/>
          <w:sz w:val="24"/>
          <w:szCs w:val="24"/>
          <w:lang w:val="en-GB"/>
        </w:rPr>
        <w:t xml:space="preserve">K. Kirksey, R. Hayes, W. Krueger, C. Mullins, T. Mueller, </w:t>
      </w:r>
      <w:r w:rsidRPr="00F8380D">
        <w:rPr>
          <w:rFonts w:ascii="Times New Roman" w:hAnsi="Times New Roman"/>
          <w:i/>
          <w:noProof/>
          <w:sz w:val="24"/>
          <w:szCs w:val="24"/>
          <w:lang w:val="en-GB"/>
        </w:rPr>
        <w:t>Weed Sci.</w:t>
      </w:r>
      <w:r w:rsidRPr="00F8380D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Pr="00F8380D">
        <w:rPr>
          <w:rFonts w:ascii="Times New Roman" w:hAnsi="Times New Roman"/>
          <w:b/>
          <w:noProof/>
          <w:sz w:val="24"/>
          <w:szCs w:val="24"/>
          <w:lang w:val="en-GB"/>
        </w:rPr>
        <w:t>44</w:t>
      </w:r>
      <w:r w:rsidRPr="00F8380D">
        <w:rPr>
          <w:rFonts w:ascii="Times New Roman" w:hAnsi="Times New Roman"/>
          <w:noProof/>
          <w:sz w:val="24"/>
          <w:szCs w:val="24"/>
          <w:lang w:val="en-GB"/>
        </w:rPr>
        <w:t xml:space="preserve"> (1996) 959 </w:t>
      </w:r>
      <w:r w:rsidR="004D2F80">
        <w:rPr>
          <w:rFonts w:ascii="Times New Roman" w:hAnsi="Times New Roman"/>
          <w:noProof/>
          <w:sz w:val="24"/>
          <w:szCs w:val="24"/>
          <w:lang w:val="en-GB"/>
        </w:rPr>
        <w:t>(</w:t>
      </w:r>
      <w:hyperlink r:id="rId33" w:history="1">
        <w:r w:rsidRPr="00F8380D">
          <w:rPr>
            <w:rStyle w:val="Hyperlink"/>
            <w:rFonts w:ascii="Times New Roman" w:hAnsi="Times New Roman"/>
            <w:noProof/>
            <w:sz w:val="24"/>
            <w:szCs w:val="24"/>
            <w:lang w:val="en-GB"/>
          </w:rPr>
          <w:t>https://www.jstor.org/stable/4045767</w:t>
        </w:r>
      </w:hyperlink>
      <w:r w:rsidR="004D2F80">
        <w:rPr>
          <w:rStyle w:val="Hyperlink"/>
          <w:rFonts w:ascii="Times New Roman" w:hAnsi="Times New Roman"/>
          <w:noProof/>
          <w:sz w:val="24"/>
          <w:szCs w:val="24"/>
          <w:lang w:val="en-GB"/>
        </w:rPr>
        <w:t>)</w:t>
      </w:r>
      <w:r w:rsidRPr="00F8380D">
        <w:rPr>
          <w:rFonts w:ascii="Times New Roman" w:hAnsi="Times New Roman"/>
          <w:bCs/>
          <w:noProof/>
          <w:color w:val="FF0000"/>
          <w:sz w:val="24"/>
          <w:szCs w:val="24"/>
          <w:lang w:val="en-GB"/>
        </w:rPr>
        <w:t xml:space="preserve"> </w:t>
      </w:r>
    </w:p>
    <w:p w14:paraId="5005B6D3" w14:textId="77777777" w:rsidR="00730E66" w:rsidRPr="00F8380D" w:rsidRDefault="00730E66" w:rsidP="00730E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 w:rsidRPr="00F8380D">
        <w:rPr>
          <w:rFonts w:ascii="Times New Roman" w:hAnsi="Times New Roman"/>
          <w:sz w:val="24"/>
          <w:szCs w:val="24"/>
          <w:lang w:val="en-GB"/>
        </w:rPr>
        <w:t xml:space="preserve">L. F. Li, G. X. Li, R. B. Yang, Z. Y. </w:t>
      </w:r>
      <w:proofErr w:type="spellStart"/>
      <w:r w:rsidRPr="00F8380D">
        <w:rPr>
          <w:rFonts w:ascii="Times New Roman" w:hAnsi="Times New Roman"/>
          <w:sz w:val="24"/>
          <w:szCs w:val="24"/>
          <w:lang w:val="en-GB"/>
        </w:rPr>
        <w:t>Guo</w:t>
      </w:r>
      <w:proofErr w:type="spellEnd"/>
      <w:r w:rsidRPr="00F8380D">
        <w:rPr>
          <w:rFonts w:ascii="Times New Roman" w:hAnsi="Times New Roman"/>
          <w:sz w:val="24"/>
          <w:szCs w:val="24"/>
          <w:lang w:val="en-GB"/>
        </w:rPr>
        <w:t xml:space="preserve">, X. Y. Liao, </w:t>
      </w:r>
      <w:r w:rsidRPr="00F8380D">
        <w:rPr>
          <w:rFonts w:ascii="Times New Roman" w:hAnsi="Times New Roman"/>
          <w:i/>
          <w:sz w:val="24"/>
          <w:szCs w:val="24"/>
          <w:lang w:val="en-GB"/>
        </w:rPr>
        <w:t xml:space="preserve">J. Environ. Sci. </w:t>
      </w:r>
      <w:r w:rsidRPr="00F8380D">
        <w:rPr>
          <w:rFonts w:ascii="Times New Roman" w:hAnsi="Times New Roman"/>
          <w:b/>
          <w:sz w:val="24"/>
          <w:szCs w:val="24"/>
          <w:lang w:val="en-GB"/>
        </w:rPr>
        <w:t>16</w:t>
      </w:r>
      <w:r w:rsidRPr="00F8380D">
        <w:rPr>
          <w:rFonts w:ascii="Times New Roman" w:hAnsi="Times New Roman"/>
          <w:sz w:val="24"/>
          <w:szCs w:val="24"/>
          <w:lang w:val="en-GB"/>
        </w:rPr>
        <w:t xml:space="preserve"> (2004) 678 </w:t>
      </w:r>
      <w:r w:rsidRPr="00F8380D">
        <w:rPr>
          <w:rFonts w:ascii="Times New Roman" w:hAnsi="Times New Roman"/>
          <w:bCs/>
          <w:sz w:val="24"/>
          <w:szCs w:val="24"/>
          <w:lang w:val="en-GB"/>
        </w:rPr>
        <w:t>(</w:t>
      </w:r>
      <w:hyperlink r:id="rId34" w:history="1">
        <w:r w:rsidRPr="00F8380D">
          <w:rPr>
            <w:rStyle w:val="Hyperlink"/>
            <w:rFonts w:ascii="Times New Roman" w:hAnsi="Times New Roman"/>
            <w:bCs/>
            <w:sz w:val="24"/>
            <w:szCs w:val="24"/>
            <w:lang w:val="en-GB"/>
          </w:rPr>
          <w:t>http://www.jesc.ac.cn/jesc_en/ch/reader/create_pdf.aspx?file_no=20040432&amp;year_id=2004&amp;quarter_id=4&amp;falg=1</w:t>
        </w:r>
      </w:hyperlink>
      <w:r w:rsidRPr="00F8380D">
        <w:rPr>
          <w:rFonts w:ascii="Times New Roman" w:hAnsi="Times New Roman"/>
          <w:bCs/>
          <w:sz w:val="24"/>
          <w:szCs w:val="24"/>
          <w:lang w:val="en-GB"/>
        </w:rPr>
        <w:t xml:space="preserve">) </w:t>
      </w:r>
    </w:p>
    <w:p w14:paraId="0643A362" w14:textId="77777777" w:rsidR="00730E66" w:rsidRPr="00F8380D" w:rsidRDefault="00730E66" w:rsidP="00730E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 w:rsidRPr="00F8380D">
        <w:rPr>
          <w:rFonts w:ascii="Times New Roman" w:hAnsi="Times New Roman"/>
          <w:sz w:val="24"/>
          <w:szCs w:val="24"/>
          <w:lang w:val="en-GB"/>
        </w:rPr>
        <w:t xml:space="preserve">C. Xu, W. Liu, G. Sheng, </w:t>
      </w:r>
      <w:r w:rsidRPr="00F8380D">
        <w:rPr>
          <w:rFonts w:ascii="Times New Roman" w:hAnsi="Times New Roman"/>
          <w:i/>
          <w:sz w:val="24"/>
          <w:szCs w:val="24"/>
          <w:lang w:val="en-GB"/>
        </w:rPr>
        <w:t>Sci. Total Environ.</w:t>
      </w:r>
      <w:r w:rsidRPr="00F8380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8380D">
        <w:rPr>
          <w:rFonts w:ascii="Times New Roman" w:hAnsi="Times New Roman"/>
          <w:b/>
          <w:sz w:val="24"/>
          <w:szCs w:val="24"/>
          <w:lang w:val="en-GB"/>
        </w:rPr>
        <w:t>392</w:t>
      </w:r>
      <w:r w:rsidRPr="00F8380D">
        <w:rPr>
          <w:rFonts w:ascii="Times New Roman" w:hAnsi="Times New Roman"/>
          <w:sz w:val="24"/>
          <w:szCs w:val="24"/>
          <w:lang w:val="en-GB"/>
        </w:rPr>
        <w:t xml:space="preserve"> (2008) 284 (</w:t>
      </w:r>
      <w:hyperlink r:id="rId35" w:tgtFrame="_blank" w:tooltip="Persistent link using digital object identifier" w:history="1">
        <w:r w:rsidRPr="00F8380D">
          <w:rPr>
            <w:rStyle w:val="Hyperlink"/>
            <w:rFonts w:ascii="Times New Roman" w:hAnsi="Times New Roman"/>
            <w:sz w:val="24"/>
            <w:szCs w:val="24"/>
            <w:lang w:val="en-GB"/>
          </w:rPr>
          <w:t>https://doi.org/10.1016/j.scitotenv.2007.11.033</w:t>
        </w:r>
      </w:hyperlink>
      <w:r w:rsidRPr="00F8380D">
        <w:rPr>
          <w:rFonts w:ascii="Times New Roman" w:hAnsi="Times New Roman"/>
          <w:sz w:val="24"/>
          <w:szCs w:val="24"/>
          <w:lang w:val="en-GB"/>
        </w:rPr>
        <w:t>)</w:t>
      </w:r>
    </w:p>
    <w:p w14:paraId="6BDF9B33" w14:textId="77777777" w:rsidR="00730E66" w:rsidRPr="00F8380D" w:rsidRDefault="00730E66" w:rsidP="00730E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 w:rsidRPr="00F8380D">
        <w:rPr>
          <w:rFonts w:ascii="Times New Roman" w:hAnsi="Times New Roman"/>
          <w:sz w:val="24"/>
          <w:szCs w:val="24"/>
          <w:lang w:val="en-GB"/>
        </w:rPr>
        <w:t xml:space="preserve">W. </w:t>
      </w:r>
      <w:proofErr w:type="spellStart"/>
      <w:r w:rsidRPr="00F8380D">
        <w:rPr>
          <w:rFonts w:ascii="Times New Roman" w:hAnsi="Times New Roman"/>
          <w:sz w:val="24"/>
          <w:szCs w:val="24"/>
          <w:lang w:val="en-GB"/>
        </w:rPr>
        <w:t>Haung</w:t>
      </w:r>
      <w:proofErr w:type="spellEnd"/>
      <w:r w:rsidRPr="00F8380D">
        <w:rPr>
          <w:rFonts w:ascii="Times New Roman" w:hAnsi="Times New Roman"/>
          <w:sz w:val="24"/>
          <w:szCs w:val="24"/>
          <w:lang w:val="en-GB"/>
        </w:rPr>
        <w:t xml:space="preserve">, W. J. J. Weber, </w:t>
      </w:r>
      <w:r w:rsidRPr="00F8380D">
        <w:rPr>
          <w:rFonts w:ascii="Times New Roman" w:hAnsi="Times New Roman"/>
          <w:i/>
          <w:sz w:val="24"/>
          <w:szCs w:val="24"/>
          <w:lang w:val="en-GB"/>
        </w:rPr>
        <w:t xml:space="preserve">J. </w:t>
      </w:r>
      <w:proofErr w:type="spellStart"/>
      <w:r w:rsidRPr="00F8380D">
        <w:rPr>
          <w:rFonts w:ascii="Times New Roman" w:hAnsi="Times New Roman"/>
          <w:i/>
          <w:sz w:val="24"/>
          <w:szCs w:val="24"/>
          <w:lang w:val="en-GB"/>
        </w:rPr>
        <w:t>Contam</w:t>
      </w:r>
      <w:proofErr w:type="spellEnd"/>
      <w:r w:rsidRPr="00F8380D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proofErr w:type="spellStart"/>
      <w:r w:rsidRPr="00F8380D">
        <w:rPr>
          <w:rFonts w:ascii="Times New Roman" w:hAnsi="Times New Roman"/>
          <w:i/>
          <w:sz w:val="24"/>
          <w:szCs w:val="24"/>
          <w:lang w:val="en-GB"/>
        </w:rPr>
        <w:t>Hydrol</w:t>
      </w:r>
      <w:proofErr w:type="spellEnd"/>
      <w:r w:rsidRPr="00F8380D">
        <w:rPr>
          <w:rFonts w:ascii="Times New Roman" w:hAnsi="Times New Roman"/>
          <w:i/>
          <w:sz w:val="24"/>
          <w:szCs w:val="24"/>
          <w:lang w:val="en-GB"/>
        </w:rPr>
        <w:t>.</w:t>
      </w:r>
      <w:r w:rsidRPr="00F8380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8380D">
        <w:rPr>
          <w:rFonts w:ascii="Times New Roman" w:hAnsi="Times New Roman"/>
          <w:b/>
          <w:sz w:val="24"/>
          <w:szCs w:val="24"/>
          <w:lang w:val="en-GB"/>
        </w:rPr>
        <w:t>31</w:t>
      </w:r>
      <w:r w:rsidRPr="00F8380D">
        <w:rPr>
          <w:rFonts w:ascii="Times New Roman" w:hAnsi="Times New Roman"/>
          <w:sz w:val="24"/>
          <w:szCs w:val="24"/>
          <w:lang w:val="en-GB"/>
        </w:rPr>
        <w:t xml:space="preserve"> (1998) 129 (</w:t>
      </w:r>
      <w:hyperlink r:id="rId36" w:tgtFrame="_blank" w:tooltip="Persistent link using digital object identifier" w:history="1">
        <w:r w:rsidRPr="00F8380D">
          <w:rPr>
            <w:rStyle w:val="Hyperlink"/>
            <w:rFonts w:ascii="Times New Roman" w:hAnsi="Times New Roman"/>
            <w:sz w:val="24"/>
            <w:szCs w:val="24"/>
            <w:lang w:val="en-GB"/>
          </w:rPr>
          <w:t>https://doi.org/10.1016/S0169-7722(97)00056-9</w:t>
        </w:r>
      </w:hyperlink>
      <w:r w:rsidRPr="00F8380D">
        <w:rPr>
          <w:rFonts w:ascii="Times New Roman" w:hAnsi="Times New Roman"/>
          <w:sz w:val="24"/>
          <w:szCs w:val="24"/>
          <w:lang w:val="en-GB"/>
        </w:rPr>
        <w:t>)</w:t>
      </w:r>
    </w:p>
    <w:p w14:paraId="7C51E0FF" w14:textId="77777777" w:rsidR="00730E66" w:rsidRPr="00F8380D" w:rsidRDefault="00730E66" w:rsidP="00730E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 w:rsidRPr="00F8380D">
        <w:rPr>
          <w:rFonts w:ascii="Times New Roman" w:hAnsi="Times New Roman"/>
          <w:sz w:val="24"/>
          <w:szCs w:val="24"/>
          <w:lang w:val="en-GB"/>
        </w:rPr>
        <w:t xml:space="preserve">OECD standard: </w:t>
      </w:r>
      <w:r w:rsidRPr="00F8380D">
        <w:rPr>
          <w:rFonts w:ascii="Times New Roman" w:hAnsi="Times New Roman"/>
          <w:i/>
          <w:sz w:val="24"/>
          <w:szCs w:val="24"/>
          <w:lang w:val="en-GB"/>
        </w:rPr>
        <w:t>OECD guidelines for testing of chemicals, proposal for updating guideline 106—adsorption/desorption using a batch equilibrium method</w:t>
      </w:r>
      <w:r w:rsidRPr="00F8380D">
        <w:rPr>
          <w:rFonts w:ascii="Times New Roman" w:hAnsi="Times New Roman"/>
          <w:sz w:val="24"/>
          <w:szCs w:val="24"/>
          <w:lang w:val="en-GB"/>
        </w:rPr>
        <w:t xml:space="preserve"> (1997)</w:t>
      </w:r>
    </w:p>
    <w:p w14:paraId="6C317F02" w14:textId="77777777" w:rsidR="00730E66" w:rsidRPr="00F8380D" w:rsidRDefault="00730E66" w:rsidP="00730E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F8380D">
        <w:rPr>
          <w:rFonts w:ascii="Times New Roman" w:hAnsi="Times New Roman"/>
          <w:noProof/>
          <w:sz w:val="24"/>
          <w:szCs w:val="24"/>
          <w:lang w:val="en-GB"/>
        </w:rPr>
        <w:t xml:space="preserve">IUSS Working Group WRB, World reference base for soil resources 2014 - International soil classification system for naming soils and creating legends for soil maps, </w:t>
      </w:r>
      <w:r w:rsidRPr="00F8380D">
        <w:rPr>
          <w:rFonts w:ascii="Times New Roman" w:hAnsi="Times New Roman"/>
          <w:sz w:val="24"/>
          <w:szCs w:val="24"/>
          <w:lang w:val="en-GB"/>
        </w:rPr>
        <w:t xml:space="preserve">update 2015, </w:t>
      </w:r>
      <w:hyperlink r:id="rId37" w:history="1">
        <w:r w:rsidRPr="00F8380D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http://www.fao.org/3/i3794en/I3794en.pdf</w:t>
        </w:r>
      </w:hyperlink>
      <w:r w:rsidRPr="00F8380D">
        <w:rPr>
          <w:rFonts w:ascii="Times New Roman" w:hAnsi="Times New Roman"/>
          <w:sz w:val="24"/>
          <w:szCs w:val="24"/>
          <w:lang w:val="en-GB"/>
        </w:rPr>
        <w:t>, (accessed 14 July 2019.)</w:t>
      </w:r>
    </w:p>
    <w:p w14:paraId="41E270FA" w14:textId="77777777" w:rsidR="00730E66" w:rsidRPr="00F8380D" w:rsidRDefault="00730E66" w:rsidP="00730E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 w:rsidRPr="00F8380D">
        <w:rPr>
          <w:rFonts w:ascii="Times New Roman" w:hAnsi="Times New Roman"/>
          <w:noProof/>
          <w:sz w:val="24"/>
          <w:szCs w:val="24"/>
          <w:lang w:val="en-GB"/>
        </w:rPr>
        <w:t xml:space="preserve">M. R. Carter, E. G. Gregorich, </w:t>
      </w:r>
      <w:r w:rsidRPr="00F8380D">
        <w:rPr>
          <w:rFonts w:ascii="Times New Roman" w:hAnsi="Times New Roman"/>
          <w:i/>
          <w:noProof/>
          <w:sz w:val="24"/>
          <w:szCs w:val="24"/>
          <w:lang w:val="en-GB"/>
        </w:rPr>
        <w:t>Soil sampling and methods of analysis</w:t>
      </w:r>
      <w:r w:rsidRPr="00F8380D">
        <w:rPr>
          <w:rFonts w:ascii="Times New Roman" w:hAnsi="Times New Roman"/>
          <w:noProof/>
          <w:sz w:val="24"/>
          <w:szCs w:val="24"/>
          <w:lang w:val="en-GB"/>
        </w:rPr>
        <w:t xml:space="preserve">, 2nd ed., CRC Press Taylor </w:t>
      </w:r>
      <w:r w:rsidRPr="00F8380D">
        <w:rPr>
          <w:rFonts w:ascii="Times New Roman" w:hAnsi="Times New Roman"/>
          <w:noProof/>
          <w:sz w:val="24"/>
          <w:szCs w:val="24"/>
          <w:lang w:val="en-GB"/>
        </w:rPr>
        <w:sym w:font="Symbol" w:char="F026"/>
      </w:r>
      <w:r w:rsidRPr="00F8380D">
        <w:rPr>
          <w:rFonts w:ascii="Times New Roman" w:hAnsi="Times New Roman"/>
          <w:noProof/>
          <w:sz w:val="24"/>
          <w:szCs w:val="24"/>
          <w:lang w:val="en-GB"/>
        </w:rPr>
        <w:t xml:space="preserve"> Francis Group, Boca Raton, USA, 2008 (ISBN: </w:t>
      </w:r>
      <w:r w:rsidRPr="00F8380D">
        <w:rPr>
          <w:rFonts w:ascii="Times New Roman" w:hAnsi="Times New Roman"/>
          <w:sz w:val="24"/>
          <w:szCs w:val="24"/>
          <w:lang w:val="en-GB"/>
        </w:rPr>
        <w:t>978-0-8493-3586-0</w:t>
      </w:r>
      <w:r w:rsidRPr="00F8380D">
        <w:rPr>
          <w:rFonts w:ascii="Times New Roman" w:hAnsi="Times New Roman"/>
          <w:noProof/>
          <w:sz w:val="24"/>
          <w:szCs w:val="24"/>
          <w:lang w:val="en-GB"/>
        </w:rPr>
        <w:t xml:space="preserve"> )</w:t>
      </w:r>
    </w:p>
    <w:p w14:paraId="27150D66" w14:textId="77777777" w:rsidR="00730E66" w:rsidRPr="00F8380D" w:rsidRDefault="00730E66" w:rsidP="00730E66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F8380D">
        <w:rPr>
          <w:rFonts w:ascii="Times New Roman" w:hAnsi="Times New Roman"/>
          <w:sz w:val="24"/>
          <w:szCs w:val="24"/>
          <w:lang w:val="en-GB"/>
        </w:rPr>
        <w:t xml:space="preserve">D. L. Sparks, </w:t>
      </w:r>
      <w:r w:rsidRPr="00F8380D">
        <w:rPr>
          <w:rFonts w:ascii="Times New Roman" w:hAnsi="Times New Roman"/>
          <w:i/>
          <w:iCs/>
          <w:sz w:val="24"/>
          <w:szCs w:val="24"/>
          <w:lang w:val="en-GB"/>
        </w:rPr>
        <w:t xml:space="preserve">Environmental </w:t>
      </w:r>
      <w:r w:rsidRPr="00F8380D">
        <w:rPr>
          <w:rFonts w:ascii="Times New Roman" w:hAnsi="Times New Roman"/>
          <w:i/>
          <w:iCs/>
          <w:color w:val="000000"/>
          <w:sz w:val="24"/>
          <w:szCs w:val="24"/>
          <w:lang w:val="en-GB"/>
        </w:rPr>
        <w:t>Soil Chemistry</w:t>
      </w:r>
      <w:r w:rsidRPr="00F8380D">
        <w:rPr>
          <w:rFonts w:ascii="Times New Roman" w:hAnsi="Times New Roman"/>
          <w:color w:val="000000"/>
          <w:sz w:val="24"/>
          <w:szCs w:val="24"/>
          <w:lang w:val="en-GB"/>
        </w:rPr>
        <w:t xml:space="preserve">, 1st ed., Academic Press, Inc., San Diego, </w:t>
      </w:r>
      <w:r w:rsidRPr="00F8380D">
        <w:rPr>
          <w:rFonts w:ascii="Times New Roman" w:hAnsi="Times New Roman"/>
          <w:sz w:val="24"/>
          <w:szCs w:val="24"/>
          <w:lang w:val="en-GB"/>
        </w:rPr>
        <w:t>USA, 1995 (ISBN: 0-12-656445-0)</w:t>
      </w:r>
    </w:p>
    <w:p w14:paraId="6DAFCF14" w14:textId="77777777" w:rsidR="00730E66" w:rsidRPr="00F8380D" w:rsidRDefault="00730E66" w:rsidP="00730E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GaramondPremrPro" w:hAnsi="Times New Roman"/>
          <w:sz w:val="24"/>
          <w:szCs w:val="24"/>
          <w:lang w:val="en-GB"/>
        </w:rPr>
      </w:pPr>
      <w:r w:rsidRPr="00F8380D">
        <w:rPr>
          <w:rFonts w:ascii="Times New Roman" w:eastAsia="GaramondPremrPro-BdIt" w:hAnsi="Times New Roman"/>
          <w:iCs/>
          <w:sz w:val="24"/>
          <w:szCs w:val="24"/>
          <w:lang w:val="en-GB"/>
        </w:rPr>
        <w:lastRenderedPageBreak/>
        <w:t xml:space="preserve">M. </w:t>
      </w:r>
      <w:proofErr w:type="spellStart"/>
      <w:r w:rsidRPr="00F8380D">
        <w:rPr>
          <w:rFonts w:ascii="Times New Roman" w:eastAsia="GaramondPremrPro-BdIt" w:hAnsi="Times New Roman"/>
          <w:iCs/>
          <w:sz w:val="24"/>
          <w:szCs w:val="24"/>
          <w:lang w:val="en-GB"/>
        </w:rPr>
        <w:t>Arienzo</w:t>
      </w:r>
      <w:proofErr w:type="spellEnd"/>
      <w:r w:rsidRPr="00F8380D">
        <w:rPr>
          <w:rFonts w:ascii="Times New Roman" w:eastAsia="GaramondPremrPro-BdIt" w:hAnsi="Times New Roman"/>
          <w:iCs/>
          <w:sz w:val="24"/>
          <w:szCs w:val="24"/>
          <w:lang w:val="en-GB"/>
        </w:rPr>
        <w:t xml:space="preserve">, A. </w:t>
      </w:r>
      <w:proofErr w:type="spellStart"/>
      <w:r w:rsidRPr="00F8380D">
        <w:rPr>
          <w:rFonts w:ascii="Times New Roman" w:eastAsia="GaramondPremrPro-BdIt" w:hAnsi="Times New Roman"/>
          <w:iCs/>
          <w:sz w:val="24"/>
          <w:szCs w:val="24"/>
          <w:lang w:val="en-GB"/>
        </w:rPr>
        <w:t>Buondonno</w:t>
      </w:r>
      <w:proofErr w:type="spellEnd"/>
      <w:r w:rsidRPr="00F8380D">
        <w:rPr>
          <w:rFonts w:ascii="Times New Roman" w:eastAsia="GaramondPremrPro-BdIt" w:hAnsi="Times New Roman"/>
          <w:iCs/>
          <w:sz w:val="24"/>
          <w:szCs w:val="24"/>
          <w:lang w:val="en-GB"/>
        </w:rPr>
        <w:t xml:space="preserve">, </w:t>
      </w:r>
      <w:proofErr w:type="spellStart"/>
      <w:r w:rsidRPr="00F8380D">
        <w:rPr>
          <w:rFonts w:ascii="Times New Roman" w:eastAsia="GaramondPremrPro" w:hAnsi="Times New Roman"/>
          <w:i/>
          <w:sz w:val="24"/>
          <w:szCs w:val="24"/>
          <w:lang w:val="en-GB"/>
        </w:rPr>
        <w:t>Toxicol</w:t>
      </w:r>
      <w:proofErr w:type="spellEnd"/>
      <w:r w:rsidRPr="00F8380D">
        <w:rPr>
          <w:rFonts w:ascii="Times New Roman" w:eastAsia="GaramondPremrPro" w:hAnsi="Times New Roman"/>
          <w:i/>
          <w:sz w:val="24"/>
          <w:szCs w:val="24"/>
          <w:lang w:val="en-GB"/>
        </w:rPr>
        <w:t>. Environ. Chem.</w:t>
      </w:r>
      <w:r w:rsidRPr="00F8380D">
        <w:rPr>
          <w:rFonts w:ascii="Times New Roman" w:eastAsia="GaramondPremrPro" w:hAnsi="Times New Roman"/>
          <w:sz w:val="24"/>
          <w:szCs w:val="24"/>
          <w:lang w:val="en-GB"/>
        </w:rPr>
        <w:t xml:space="preserve"> </w:t>
      </w:r>
      <w:r w:rsidRPr="00F8380D">
        <w:rPr>
          <w:rFonts w:ascii="Times New Roman" w:eastAsia="GaramondPremrPro" w:hAnsi="Times New Roman"/>
          <w:b/>
          <w:sz w:val="24"/>
          <w:szCs w:val="24"/>
          <w:lang w:val="en-GB"/>
        </w:rPr>
        <w:t>39</w:t>
      </w:r>
      <w:r w:rsidRPr="00F8380D">
        <w:rPr>
          <w:rFonts w:ascii="Times New Roman" w:eastAsia="GaramondPremrPro" w:hAnsi="Times New Roman"/>
          <w:sz w:val="24"/>
          <w:szCs w:val="24"/>
          <w:lang w:val="en-GB"/>
        </w:rPr>
        <w:t xml:space="preserve"> (1993) 193 </w:t>
      </w:r>
      <w:r w:rsidRPr="00F8380D">
        <w:rPr>
          <w:rFonts w:ascii="Times New Roman" w:hAnsi="Times New Roman"/>
          <w:bCs/>
          <w:sz w:val="24"/>
          <w:szCs w:val="24"/>
          <w:lang w:val="en-GB"/>
        </w:rPr>
        <w:t>(</w:t>
      </w:r>
      <w:hyperlink r:id="rId38" w:history="1">
        <w:r w:rsidRPr="00F8380D">
          <w:rPr>
            <w:rStyle w:val="Hyperlink"/>
            <w:rFonts w:ascii="Times New Roman" w:hAnsi="Times New Roman"/>
            <w:sz w:val="24"/>
            <w:szCs w:val="24"/>
            <w:lang w:val="en-GB"/>
          </w:rPr>
          <w:t>https://doi.org/10.1080/02772249309357917</w:t>
        </w:r>
      </w:hyperlink>
      <w:r w:rsidRPr="00F8380D">
        <w:rPr>
          <w:rFonts w:ascii="Times New Roman" w:hAnsi="Times New Roman"/>
          <w:bCs/>
          <w:sz w:val="24"/>
          <w:szCs w:val="24"/>
          <w:lang w:val="en-GB"/>
        </w:rPr>
        <w:t>)</w:t>
      </w:r>
    </w:p>
    <w:p w14:paraId="0CA827FB" w14:textId="77777777" w:rsidR="00730E66" w:rsidRPr="00F8380D" w:rsidRDefault="00730E66" w:rsidP="00730E6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F8380D">
        <w:rPr>
          <w:rFonts w:ascii="Times New Roman" w:eastAsia="GaramondPremrPro-BdIt" w:hAnsi="Times New Roman"/>
          <w:iCs/>
          <w:sz w:val="24"/>
          <w:szCs w:val="24"/>
          <w:lang w:val="en-GB"/>
        </w:rPr>
        <w:t xml:space="preserve">B. M. Jenks, F. W. </w:t>
      </w:r>
      <w:proofErr w:type="spellStart"/>
      <w:r w:rsidRPr="00F8380D">
        <w:rPr>
          <w:rFonts w:ascii="Times New Roman" w:eastAsia="GaramondPremrPro-BdIt" w:hAnsi="Times New Roman"/>
          <w:iCs/>
          <w:sz w:val="24"/>
          <w:szCs w:val="24"/>
          <w:lang w:val="en-GB"/>
        </w:rPr>
        <w:t>Roeth</w:t>
      </w:r>
      <w:proofErr w:type="spellEnd"/>
      <w:r w:rsidRPr="00F8380D">
        <w:rPr>
          <w:rFonts w:ascii="Times New Roman" w:eastAsia="GaramondPremrPro-BdIt" w:hAnsi="Times New Roman"/>
          <w:iCs/>
          <w:sz w:val="24"/>
          <w:szCs w:val="24"/>
          <w:lang w:val="en-GB"/>
        </w:rPr>
        <w:t xml:space="preserve">, A. R. Martin, D. L. </w:t>
      </w:r>
      <w:proofErr w:type="spellStart"/>
      <w:r w:rsidRPr="00F8380D">
        <w:rPr>
          <w:rFonts w:ascii="Times New Roman" w:eastAsia="GaramondPremrPro-BdIt" w:hAnsi="Times New Roman"/>
          <w:iCs/>
          <w:sz w:val="24"/>
          <w:szCs w:val="24"/>
          <w:lang w:val="en-GB"/>
        </w:rPr>
        <w:t>McCallister</w:t>
      </w:r>
      <w:proofErr w:type="spellEnd"/>
      <w:r w:rsidRPr="00F8380D">
        <w:rPr>
          <w:rFonts w:ascii="Times New Roman" w:eastAsia="GaramondPremrPro-BdIt" w:hAnsi="Times New Roman"/>
          <w:iCs/>
          <w:sz w:val="24"/>
          <w:szCs w:val="24"/>
          <w:lang w:val="en-GB"/>
        </w:rPr>
        <w:t xml:space="preserve">, </w:t>
      </w:r>
      <w:r w:rsidRPr="00F8380D">
        <w:rPr>
          <w:rFonts w:ascii="Times New Roman" w:eastAsia="GaramondPremrPro" w:hAnsi="Times New Roman"/>
          <w:i/>
          <w:sz w:val="24"/>
          <w:szCs w:val="24"/>
          <w:lang w:val="en-GB"/>
        </w:rPr>
        <w:t>Weed Sci.</w:t>
      </w:r>
      <w:r w:rsidRPr="00F8380D">
        <w:rPr>
          <w:rFonts w:ascii="Times New Roman" w:eastAsia="GaramondPremrPro" w:hAnsi="Times New Roman"/>
          <w:sz w:val="24"/>
          <w:szCs w:val="24"/>
          <w:lang w:val="en-GB"/>
        </w:rPr>
        <w:t xml:space="preserve"> </w:t>
      </w:r>
      <w:r w:rsidRPr="00F8380D">
        <w:rPr>
          <w:rFonts w:ascii="Times New Roman" w:eastAsia="GaramondPremrPro" w:hAnsi="Times New Roman"/>
          <w:b/>
          <w:sz w:val="24"/>
          <w:szCs w:val="24"/>
          <w:lang w:val="en-GB"/>
        </w:rPr>
        <w:t>46</w:t>
      </w:r>
      <w:r w:rsidRPr="00F8380D">
        <w:rPr>
          <w:rFonts w:ascii="Times New Roman" w:eastAsia="GaramondPremrPro" w:hAnsi="Times New Roman"/>
          <w:sz w:val="24"/>
          <w:szCs w:val="24"/>
          <w:lang w:val="en-GB"/>
        </w:rPr>
        <w:t xml:space="preserve"> (1998) 132 </w:t>
      </w:r>
      <w:r w:rsidRPr="00F8380D">
        <w:rPr>
          <w:rFonts w:ascii="Times New Roman" w:hAnsi="Times New Roman"/>
          <w:bCs/>
          <w:sz w:val="24"/>
          <w:szCs w:val="24"/>
          <w:lang w:val="en-GB"/>
        </w:rPr>
        <w:t>(</w:t>
      </w:r>
      <w:hyperlink r:id="rId39" w:history="1">
        <w:r w:rsidRPr="00F8380D">
          <w:rPr>
            <w:rStyle w:val="Hyperlink"/>
            <w:rFonts w:ascii="Times New Roman" w:hAnsi="Times New Roman"/>
            <w:bCs/>
            <w:sz w:val="24"/>
            <w:szCs w:val="24"/>
            <w:lang w:val="en-GB"/>
          </w:rPr>
          <w:t>https://doi.org/10.1017/S0043174500090299</w:t>
        </w:r>
      </w:hyperlink>
      <w:r w:rsidRPr="00F8380D">
        <w:rPr>
          <w:rFonts w:ascii="Times New Roman" w:hAnsi="Times New Roman"/>
          <w:bCs/>
          <w:sz w:val="24"/>
          <w:szCs w:val="24"/>
          <w:lang w:val="en-GB"/>
        </w:rPr>
        <w:t xml:space="preserve">) </w:t>
      </w:r>
    </w:p>
    <w:p w14:paraId="2A128973" w14:textId="77777777" w:rsidR="00730E66" w:rsidRPr="00F8380D" w:rsidRDefault="00730E66" w:rsidP="00730E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GaramondPremrPro" w:hAnsi="Times New Roman"/>
          <w:sz w:val="24"/>
          <w:szCs w:val="24"/>
          <w:lang w:val="en-GB"/>
        </w:rPr>
      </w:pPr>
      <w:r w:rsidRPr="00F8380D">
        <w:rPr>
          <w:rFonts w:ascii="Times New Roman" w:eastAsia="GaramondPremrPro-BdIt" w:hAnsi="Times New Roman"/>
          <w:iCs/>
          <w:sz w:val="24"/>
          <w:szCs w:val="24"/>
          <w:lang w:val="en-GB"/>
        </w:rPr>
        <w:t xml:space="preserve">M. </w:t>
      </w:r>
      <w:proofErr w:type="spellStart"/>
      <w:r w:rsidRPr="00F8380D">
        <w:rPr>
          <w:rFonts w:ascii="Times New Roman" w:eastAsia="GaramondPremrPro-BdIt" w:hAnsi="Times New Roman"/>
          <w:iCs/>
          <w:sz w:val="24"/>
          <w:szCs w:val="24"/>
          <w:lang w:val="en-GB"/>
        </w:rPr>
        <w:t>Bekbölet</w:t>
      </w:r>
      <w:proofErr w:type="spellEnd"/>
      <w:r w:rsidRPr="00F8380D">
        <w:rPr>
          <w:rFonts w:ascii="Times New Roman" w:eastAsia="GaramondPremrPro-BdIt" w:hAnsi="Times New Roman"/>
          <w:iCs/>
          <w:sz w:val="24"/>
          <w:szCs w:val="24"/>
          <w:lang w:val="en-GB"/>
        </w:rPr>
        <w:t xml:space="preserve">, O. </w:t>
      </w:r>
      <w:proofErr w:type="spellStart"/>
      <w:r w:rsidRPr="00F8380D">
        <w:rPr>
          <w:rFonts w:ascii="Times New Roman" w:eastAsia="GaramondPremrPro-BdIt" w:hAnsi="Times New Roman"/>
          <w:iCs/>
          <w:sz w:val="24"/>
          <w:szCs w:val="24"/>
          <w:lang w:val="en-GB"/>
        </w:rPr>
        <w:t>Yenigün</w:t>
      </w:r>
      <w:proofErr w:type="spellEnd"/>
      <w:r w:rsidRPr="00F8380D">
        <w:rPr>
          <w:rFonts w:ascii="Times New Roman" w:eastAsia="GaramondPremrPro-BdIt" w:hAnsi="Times New Roman"/>
          <w:iCs/>
          <w:sz w:val="24"/>
          <w:szCs w:val="24"/>
          <w:lang w:val="en-GB"/>
        </w:rPr>
        <w:t xml:space="preserve">, I. </w:t>
      </w:r>
      <w:proofErr w:type="spellStart"/>
      <w:r w:rsidRPr="00F8380D">
        <w:rPr>
          <w:rFonts w:ascii="Times New Roman" w:eastAsia="GaramondPremrPro-BdIt" w:hAnsi="Times New Roman"/>
          <w:iCs/>
          <w:sz w:val="24"/>
          <w:szCs w:val="24"/>
          <w:lang w:val="en-GB"/>
        </w:rPr>
        <w:t>Yücel</w:t>
      </w:r>
      <w:proofErr w:type="spellEnd"/>
      <w:r w:rsidRPr="00F8380D">
        <w:rPr>
          <w:rFonts w:ascii="Times New Roman" w:eastAsia="GaramondPremrPro-BdIt" w:hAnsi="Times New Roman"/>
          <w:iCs/>
          <w:sz w:val="24"/>
          <w:szCs w:val="24"/>
          <w:lang w:val="en-GB"/>
        </w:rPr>
        <w:t xml:space="preserve">, </w:t>
      </w:r>
      <w:r w:rsidRPr="00F8380D">
        <w:rPr>
          <w:rFonts w:ascii="Times New Roman" w:eastAsia="GaramondPremrPro" w:hAnsi="Times New Roman"/>
          <w:i/>
          <w:sz w:val="24"/>
          <w:szCs w:val="24"/>
          <w:lang w:val="en-GB"/>
        </w:rPr>
        <w:t>Water Air Soil Poll.</w:t>
      </w:r>
      <w:r w:rsidRPr="00F8380D">
        <w:rPr>
          <w:rFonts w:ascii="Times New Roman" w:eastAsia="GaramondPremrPro" w:hAnsi="Times New Roman"/>
          <w:sz w:val="24"/>
          <w:szCs w:val="24"/>
          <w:lang w:val="en-GB"/>
        </w:rPr>
        <w:t xml:space="preserve"> </w:t>
      </w:r>
      <w:r w:rsidRPr="00F8380D">
        <w:rPr>
          <w:rFonts w:ascii="Times New Roman" w:eastAsia="GaramondPremrPro" w:hAnsi="Times New Roman"/>
          <w:b/>
          <w:sz w:val="24"/>
          <w:szCs w:val="24"/>
          <w:lang w:val="en-GB"/>
        </w:rPr>
        <w:t>111</w:t>
      </w:r>
      <w:r w:rsidRPr="00F8380D">
        <w:rPr>
          <w:rFonts w:ascii="Times New Roman" w:eastAsia="GaramondPremrPro" w:hAnsi="Times New Roman"/>
          <w:sz w:val="24"/>
          <w:szCs w:val="24"/>
          <w:lang w:val="en-GB"/>
        </w:rPr>
        <w:t xml:space="preserve"> (1999) 75 </w:t>
      </w:r>
      <w:r w:rsidRPr="00F8380D">
        <w:rPr>
          <w:rFonts w:ascii="Times New Roman" w:hAnsi="Times New Roman"/>
          <w:bCs/>
          <w:sz w:val="24"/>
          <w:szCs w:val="24"/>
          <w:lang w:val="en-GB"/>
        </w:rPr>
        <w:t>(</w:t>
      </w:r>
      <w:hyperlink r:id="rId40" w:history="1">
        <w:r w:rsidRPr="00F8380D">
          <w:rPr>
            <w:rStyle w:val="Hyperlink"/>
            <w:rFonts w:ascii="Times New Roman" w:hAnsi="Times New Roman"/>
            <w:spacing w:val="4"/>
            <w:sz w:val="24"/>
            <w:szCs w:val="24"/>
            <w:shd w:val="clear" w:color="auto" w:fill="FCFCFC"/>
            <w:lang w:val="en-GB"/>
          </w:rPr>
          <w:t>https://doi.org/10.1023/A:1005089612111</w:t>
        </w:r>
      </w:hyperlink>
      <w:r w:rsidRPr="00F8380D">
        <w:rPr>
          <w:rFonts w:ascii="Times New Roman" w:hAnsi="Times New Roman"/>
          <w:color w:val="333333"/>
          <w:spacing w:val="4"/>
          <w:sz w:val="24"/>
          <w:szCs w:val="24"/>
          <w:shd w:val="clear" w:color="auto" w:fill="FCFCFC"/>
          <w:lang w:val="en-GB"/>
        </w:rPr>
        <w:t>)</w:t>
      </w:r>
    </w:p>
    <w:p w14:paraId="242FBC46" w14:textId="77777777" w:rsidR="00730E66" w:rsidRPr="00F8380D" w:rsidRDefault="00730E66" w:rsidP="00730E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 w:rsidRPr="00F8380D">
        <w:rPr>
          <w:rFonts w:ascii="Times New Roman" w:hAnsi="Times New Roman"/>
          <w:sz w:val="24"/>
          <w:szCs w:val="24"/>
          <w:lang w:val="en-GB"/>
        </w:rPr>
        <w:t xml:space="preserve">T. </w:t>
      </w:r>
      <w:proofErr w:type="spellStart"/>
      <w:r w:rsidRPr="00F8380D">
        <w:rPr>
          <w:rFonts w:ascii="Times New Roman" w:hAnsi="Times New Roman"/>
          <w:sz w:val="24"/>
          <w:szCs w:val="24"/>
          <w:lang w:val="en-GB"/>
        </w:rPr>
        <w:t>Mervosh</w:t>
      </w:r>
      <w:proofErr w:type="spellEnd"/>
      <w:r w:rsidRPr="00F8380D">
        <w:rPr>
          <w:rFonts w:ascii="Times New Roman" w:hAnsi="Times New Roman"/>
          <w:sz w:val="24"/>
          <w:szCs w:val="24"/>
          <w:lang w:val="en-GB"/>
        </w:rPr>
        <w:t xml:space="preserve">, G. Sims, E. </w:t>
      </w:r>
      <w:proofErr w:type="spellStart"/>
      <w:r w:rsidRPr="00F8380D">
        <w:rPr>
          <w:rFonts w:ascii="Times New Roman" w:hAnsi="Times New Roman"/>
          <w:sz w:val="24"/>
          <w:szCs w:val="24"/>
          <w:lang w:val="en-GB"/>
        </w:rPr>
        <w:t>Stoller</w:t>
      </w:r>
      <w:proofErr w:type="spellEnd"/>
      <w:r w:rsidRPr="00F8380D">
        <w:rPr>
          <w:rFonts w:ascii="Times New Roman" w:hAnsi="Times New Roman"/>
          <w:sz w:val="24"/>
          <w:szCs w:val="24"/>
          <w:lang w:val="en-GB"/>
        </w:rPr>
        <w:t xml:space="preserve">, T. Ellsworth, </w:t>
      </w:r>
      <w:r w:rsidRPr="00F8380D">
        <w:rPr>
          <w:rFonts w:ascii="Times New Roman" w:hAnsi="Times New Roman"/>
          <w:bCs/>
          <w:i/>
          <w:sz w:val="24"/>
          <w:szCs w:val="24"/>
          <w:lang w:val="en-GB"/>
        </w:rPr>
        <w:t xml:space="preserve">J. Agric. Food Chem. </w:t>
      </w:r>
      <w:r w:rsidRPr="00F8380D">
        <w:rPr>
          <w:rFonts w:ascii="Times New Roman" w:hAnsi="Times New Roman"/>
          <w:b/>
          <w:bCs/>
          <w:sz w:val="24"/>
          <w:szCs w:val="24"/>
          <w:lang w:val="en-GB"/>
        </w:rPr>
        <w:t>43</w:t>
      </w:r>
      <w:r w:rsidRPr="00F8380D">
        <w:rPr>
          <w:rFonts w:ascii="Times New Roman" w:hAnsi="Times New Roman"/>
          <w:bCs/>
          <w:sz w:val="24"/>
          <w:szCs w:val="24"/>
          <w:lang w:val="en-GB"/>
        </w:rPr>
        <w:t xml:space="preserve"> (1995) 2295 (</w:t>
      </w:r>
      <w:hyperlink r:id="rId41" w:tooltip="DOI URL" w:history="1">
        <w:r w:rsidRPr="00F8380D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GB"/>
          </w:rPr>
          <w:t>https://doi.org/10.1021/jf00056a062</w:t>
        </w:r>
      </w:hyperlink>
      <w:r w:rsidRPr="00F8380D">
        <w:rPr>
          <w:rFonts w:ascii="Times New Roman" w:hAnsi="Times New Roman"/>
          <w:bCs/>
          <w:sz w:val="24"/>
          <w:szCs w:val="24"/>
          <w:lang w:val="en-GB"/>
        </w:rPr>
        <w:t>)</w:t>
      </w:r>
    </w:p>
    <w:p w14:paraId="56568572" w14:textId="77777777" w:rsidR="00730E66" w:rsidRPr="00F8380D" w:rsidRDefault="00730E66" w:rsidP="00730E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 w:rsidRPr="00F8380D">
        <w:rPr>
          <w:rFonts w:ascii="Times New Roman" w:hAnsi="Times New Roman"/>
          <w:bCs/>
          <w:sz w:val="24"/>
          <w:szCs w:val="24"/>
          <w:lang w:val="en-GB"/>
        </w:rPr>
        <w:t xml:space="preserve">C. S. </w:t>
      </w:r>
      <w:proofErr w:type="spellStart"/>
      <w:r w:rsidRPr="00F8380D">
        <w:rPr>
          <w:rFonts w:ascii="Times New Roman" w:hAnsi="Times New Roman"/>
          <w:bCs/>
          <w:sz w:val="24"/>
          <w:szCs w:val="24"/>
          <w:lang w:val="en-GB"/>
        </w:rPr>
        <w:t>Mosquera-Vivas</w:t>
      </w:r>
      <w:proofErr w:type="spellEnd"/>
      <w:r w:rsidRPr="00F8380D">
        <w:rPr>
          <w:rFonts w:ascii="Times New Roman" w:hAnsi="Times New Roman"/>
          <w:bCs/>
          <w:sz w:val="24"/>
          <w:szCs w:val="24"/>
          <w:lang w:val="en-GB"/>
        </w:rPr>
        <w:t xml:space="preserve">, M. J. Martinez, G. </w:t>
      </w:r>
      <w:proofErr w:type="spellStart"/>
      <w:r w:rsidRPr="00F8380D">
        <w:rPr>
          <w:rFonts w:ascii="Times New Roman" w:hAnsi="Times New Roman"/>
          <w:bCs/>
          <w:sz w:val="24"/>
          <w:szCs w:val="24"/>
          <w:lang w:val="en-GB"/>
        </w:rPr>
        <w:t>García</w:t>
      </w:r>
      <w:proofErr w:type="spellEnd"/>
      <w:r w:rsidRPr="00F8380D">
        <w:rPr>
          <w:rFonts w:ascii="Times New Roman" w:hAnsi="Times New Roman"/>
          <w:bCs/>
          <w:sz w:val="24"/>
          <w:szCs w:val="24"/>
          <w:lang w:val="en-GB"/>
        </w:rPr>
        <w:t>-Santos, J. A. Guerrero-</w:t>
      </w:r>
      <w:proofErr w:type="spellStart"/>
      <w:r w:rsidRPr="00F8380D">
        <w:rPr>
          <w:rFonts w:ascii="Times New Roman" w:hAnsi="Times New Roman"/>
          <w:bCs/>
          <w:sz w:val="24"/>
          <w:szCs w:val="24"/>
          <w:lang w:val="en-GB"/>
        </w:rPr>
        <w:t>Dallos</w:t>
      </w:r>
      <w:proofErr w:type="spellEnd"/>
      <w:r w:rsidRPr="00F8380D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r w:rsidRPr="00F8380D">
        <w:rPr>
          <w:rFonts w:ascii="Times New Roman" w:hAnsi="Times New Roman"/>
          <w:bCs/>
          <w:i/>
          <w:sz w:val="24"/>
          <w:szCs w:val="24"/>
          <w:lang w:val="en-GB"/>
        </w:rPr>
        <w:t xml:space="preserve">Chemosphere </w:t>
      </w:r>
      <w:r w:rsidRPr="00F8380D">
        <w:rPr>
          <w:rFonts w:ascii="Times New Roman" w:hAnsi="Times New Roman"/>
          <w:b/>
          <w:bCs/>
          <w:sz w:val="24"/>
          <w:szCs w:val="24"/>
          <w:lang w:val="en-GB"/>
        </w:rPr>
        <w:t>190</w:t>
      </w:r>
      <w:r w:rsidRPr="00F8380D">
        <w:rPr>
          <w:rFonts w:ascii="Times New Roman" w:hAnsi="Times New Roman"/>
          <w:bCs/>
          <w:sz w:val="24"/>
          <w:szCs w:val="24"/>
          <w:lang w:val="en-GB"/>
        </w:rPr>
        <w:t xml:space="preserve"> (2018) 393 (</w:t>
      </w:r>
      <w:hyperlink r:id="rId42" w:tgtFrame="_blank" w:tooltip="Persistent link using digital object identifier" w:history="1">
        <w:r w:rsidRPr="00F8380D">
          <w:rPr>
            <w:rStyle w:val="Hyperlink"/>
            <w:rFonts w:ascii="Times New Roman" w:hAnsi="Times New Roman"/>
            <w:sz w:val="24"/>
            <w:szCs w:val="24"/>
            <w:lang w:val="en-GB"/>
          </w:rPr>
          <w:t>https://doi.org/10.1016/j.chemosphere.2017.09.143</w:t>
        </w:r>
      </w:hyperlink>
      <w:r w:rsidRPr="00F8380D">
        <w:rPr>
          <w:rFonts w:ascii="Times New Roman" w:hAnsi="Times New Roman"/>
          <w:bCs/>
          <w:sz w:val="24"/>
          <w:szCs w:val="24"/>
          <w:lang w:val="en-GB"/>
        </w:rPr>
        <w:t>)</w:t>
      </w:r>
    </w:p>
    <w:p w14:paraId="504A5336" w14:textId="77777777" w:rsidR="00730E66" w:rsidRPr="00F8380D" w:rsidRDefault="00730E66" w:rsidP="00730E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 w:rsidRPr="00F8380D">
        <w:rPr>
          <w:rFonts w:ascii="Times New Roman" w:hAnsi="Times New Roman"/>
          <w:bCs/>
          <w:sz w:val="24"/>
          <w:szCs w:val="24"/>
          <w:lang w:val="en-GB"/>
        </w:rPr>
        <w:t xml:space="preserve">S. Qian, H. Zhu, B. </w:t>
      </w:r>
      <w:proofErr w:type="spellStart"/>
      <w:r w:rsidRPr="00F8380D">
        <w:rPr>
          <w:rFonts w:ascii="Times New Roman" w:hAnsi="Times New Roman"/>
          <w:bCs/>
          <w:sz w:val="24"/>
          <w:szCs w:val="24"/>
          <w:lang w:val="en-GB"/>
        </w:rPr>
        <w:t>Xiong</w:t>
      </w:r>
      <w:proofErr w:type="spellEnd"/>
      <w:r w:rsidRPr="00F8380D">
        <w:rPr>
          <w:rFonts w:ascii="Times New Roman" w:hAnsi="Times New Roman"/>
          <w:bCs/>
          <w:sz w:val="24"/>
          <w:szCs w:val="24"/>
          <w:lang w:val="en-GB"/>
        </w:rPr>
        <w:t xml:space="preserve">, G. Zheng, J. Zhang, W. Xu, </w:t>
      </w:r>
      <w:r w:rsidRPr="00F8380D">
        <w:rPr>
          <w:rFonts w:ascii="Times New Roman" w:hAnsi="Times New Roman"/>
          <w:bCs/>
          <w:i/>
          <w:sz w:val="24"/>
          <w:szCs w:val="24"/>
          <w:lang w:val="en-GB"/>
        </w:rPr>
        <w:t xml:space="preserve">Environ. Sci. Poll. Res. </w:t>
      </w:r>
      <w:r w:rsidRPr="00F8380D">
        <w:rPr>
          <w:rFonts w:ascii="Times New Roman" w:hAnsi="Times New Roman"/>
          <w:b/>
          <w:bCs/>
          <w:sz w:val="24"/>
          <w:szCs w:val="24"/>
          <w:lang w:val="en-GB"/>
        </w:rPr>
        <w:t>24</w:t>
      </w:r>
      <w:r w:rsidRPr="00F8380D">
        <w:rPr>
          <w:rFonts w:ascii="Times New Roman" w:hAnsi="Times New Roman"/>
          <w:bCs/>
          <w:sz w:val="24"/>
          <w:szCs w:val="24"/>
          <w:lang w:val="en-GB"/>
        </w:rPr>
        <w:t xml:space="preserve"> (2017) 11493 (</w:t>
      </w:r>
      <w:hyperlink r:id="rId43" w:history="1">
        <w:r w:rsidRPr="00F8380D">
          <w:rPr>
            <w:rStyle w:val="Hyperlink"/>
            <w:rFonts w:ascii="Times New Roman" w:hAnsi="Times New Roman"/>
            <w:sz w:val="24"/>
            <w:szCs w:val="24"/>
            <w:lang w:val="en-GB"/>
          </w:rPr>
          <w:t>https://doi.org/10.1007/s11356-017-8800-4</w:t>
        </w:r>
      </w:hyperlink>
      <w:r w:rsidRPr="00F8380D">
        <w:rPr>
          <w:rStyle w:val="bibliographic-informationvalue"/>
          <w:rFonts w:ascii="Times New Roman" w:hAnsi="Times New Roman"/>
          <w:sz w:val="24"/>
          <w:szCs w:val="24"/>
          <w:lang w:val="en-GB"/>
        </w:rPr>
        <w:t>)</w:t>
      </w:r>
      <w:r w:rsidRPr="00F8380D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14:paraId="4E670E91" w14:textId="77777777" w:rsidR="00730E66" w:rsidRPr="00F8380D" w:rsidRDefault="00730E66" w:rsidP="00730E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 w:rsidRPr="00F8380D">
        <w:rPr>
          <w:rFonts w:ascii="Times New Roman" w:hAnsi="Times New Roman"/>
          <w:noProof/>
          <w:sz w:val="24"/>
          <w:szCs w:val="24"/>
          <w:lang w:val="en-GB"/>
        </w:rPr>
        <w:t xml:space="preserve">M. P. Azcarate, J. C. Montoya, W. C. Koskinen, </w:t>
      </w:r>
      <w:r w:rsidRPr="00F8380D">
        <w:rPr>
          <w:rFonts w:ascii="Times New Roman" w:hAnsi="Times New Roman"/>
          <w:i/>
          <w:noProof/>
          <w:sz w:val="24"/>
          <w:szCs w:val="24"/>
          <w:lang w:val="en-GB"/>
        </w:rPr>
        <w:t>J. Environ. Sci. Heal. - Part B Pestic. Food Contam. Agric. Wastes</w:t>
      </w:r>
      <w:r w:rsidRPr="00F8380D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Pr="00F8380D">
        <w:rPr>
          <w:rFonts w:ascii="Times New Roman" w:hAnsi="Times New Roman"/>
          <w:b/>
          <w:noProof/>
          <w:sz w:val="24"/>
          <w:szCs w:val="24"/>
          <w:lang w:val="en-GB"/>
        </w:rPr>
        <w:t>50</w:t>
      </w:r>
      <w:r w:rsidRPr="00F8380D">
        <w:rPr>
          <w:rFonts w:ascii="Times New Roman" w:hAnsi="Times New Roman"/>
          <w:noProof/>
          <w:sz w:val="24"/>
          <w:szCs w:val="24"/>
          <w:lang w:val="en-GB"/>
        </w:rPr>
        <w:t xml:space="preserve"> (2015) 229 (</w:t>
      </w:r>
      <w:hyperlink r:id="rId44" w:history="1">
        <w:r w:rsidRPr="00F8380D">
          <w:rPr>
            <w:rStyle w:val="Hyperlink"/>
            <w:rFonts w:ascii="Times New Roman" w:hAnsi="Times New Roman"/>
            <w:sz w:val="24"/>
            <w:szCs w:val="24"/>
            <w:lang w:val="en-GB"/>
          </w:rPr>
          <w:t>https://doi.org/10.1080/03601234.2015.999583</w:t>
        </w:r>
      </w:hyperlink>
      <w:r w:rsidRPr="00F8380D">
        <w:rPr>
          <w:rFonts w:ascii="Times New Roman" w:hAnsi="Times New Roman"/>
          <w:noProof/>
          <w:sz w:val="24"/>
          <w:szCs w:val="24"/>
          <w:lang w:val="en-GB"/>
        </w:rPr>
        <w:t>)</w:t>
      </w:r>
    </w:p>
    <w:p w14:paraId="62A6A33F" w14:textId="77777777" w:rsidR="00730E66" w:rsidRPr="00F8380D" w:rsidRDefault="00730E66" w:rsidP="00730E66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F8380D">
        <w:rPr>
          <w:rFonts w:ascii="Times New Roman" w:hAnsi="Times New Roman"/>
          <w:bCs/>
          <w:sz w:val="24"/>
          <w:szCs w:val="24"/>
          <w:lang w:val="en-GB"/>
        </w:rPr>
        <w:t xml:space="preserve">N. Kumar, I. Mukherjee, E. Varghese, </w:t>
      </w:r>
      <w:r w:rsidRPr="00F8380D">
        <w:rPr>
          <w:rFonts w:ascii="Times New Roman" w:hAnsi="Times New Roman"/>
          <w:bCs/>
          <w:i/>
          <w:sz w:val="24"/>
          <w:szCs w:val="24"/>
          <w:lang w:val="en-GB"/>
        </w:rPr>
        <w:t>Environ. Monitor. Assess.</w:t>
      </w:r>
      <w:r w:rsidRPr="00F8380D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F8380D">
        <w:rPr>
          <w:rFonts w:ascii="Times New Roman" w:hAnsi="Times New Roman"/>
          <w:b/>
          <w:bCs/>
          <w:sz w:val="24"/>
          <w:szCs w:val="24"/>
          <w:lang w:val="en-GB"/>
        </w:rPr>
        <w:t>187</w:t>
      </w:r>
      <w:r w:rsidRPr="00F8380D">
        <w:rPr>
          <w:rFonts w:ascii="Times New Roman" w:hAnsi="Times New Roman"/>
          <w:bCs/>
          <w:sz w:val="24"/>
          <w:szCs w:val="24"/>
          <w:lang w:val="en-GB"/>
        </w:rPr>
        <w:t xml:space="preserve"> (2015) 61 (</w:t>
      </w:r>
      <w:hyperlink r:id="rId45" w:history="1">
        <w:r w:rsidRPr="00F8380D">
          <w:rPr>
            <w:rStyle w:val="Hyperlink"/>
            <w:rFonts w:ascii="Times New Roman" w:hAnsi="Times New Roman"/>
            <w:sz w:val="24"/>
            <w:szCs w:val="24"/>
            <w:lang w:val="en-GB"/>
          </w:rPr>
          <w:t>https://doi.org/10.1007/s10661-015-4280-5</w:t>
        </w:r>
      </w:hyperlink>
      <w:r w:rsidRPr="00F8380D">
        <w:rPr>
          <w:rFonts w:ascii="Times New Roman" w:hAnsi="Times New Roman"/>
          <w:bCs/>
          <w:sz w:val="24"/>
          <w:szCs w:val="24"/>
          <w:lang w:val="en-GB"/>
        </w:rPr>
        <w:t>).</w:t>
      </w:r>
    </w:p>
    <w:p w14:paraId="2DD1882C" w14:textId="77777777" w:rsidR="00730E66" w:rsidRPr="00F8380D" w:rsidRDefault="00730E66" w:rsidP="00501847">
      <w:pPr>
        <w:spacing w:after="0" w:line="360" w:lineRule="auto"/>
        <w:rPr>
          <w:rFonts w:ascii="Times New Roman" w:hAnsi="Times New Roman"/>
          <w:lang w:val="en-GB"/>
        </w:rPr>
      </w:pPr>
    </w:p>
    <w:sectPr w:rsidR="00730E66" w:rsidRPr="00F8380D" w:rsidSect="00792B62">
      <w:footerReference w:type="default" r:id="rId46"/>
      <w:footerReference w:type="first" r:id="rId47"/>
      <w:endnotePr>
        <w:numFmt w:val="decimal"/>
      </w:endnotePr>
      <w:pgSz w:w="11907" w:h="16840" w:code="9"/>
      <w:pgMar w:top="1418" w:right="1418" w:bottom="1418" w:left="1418" w:header="851" w:footer="851" w:gutter="0"/>
      <w:lnNumType w:countBy="1" w:restart="continuous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1D09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1D09BE" w16cid:durableId="212B72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CB812" w14:textId="77777777" w:rsidR="00D033CC" w:rsidRDefault="00D033CC" w:rsidP="00501847">
      <w:pPr>
        <w:spacing w:after="0" w:line="240" w:lineRule="auto"/>
      </w:pPr>
      <w:r>
        <w:separator/>
      </w:r>
    </w:p>
  </w:endnote>
  <w:endnote w:type="continuationSeparator" w:id="0">
    <w:p w14:paraId="0E193EF3" w14:textId="77777777" w:rsidR="00D033CC" w:rsidRDefault="00D033CC" w:rsidP="0050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  <w:embedRegular r:id="rId1" w:subsetted="1" w:fontKey="{9F70061F-9436-4FEF-93F3-89F9EDFF7EF1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vP6F00">
    <w:altName w:val="MS Mincho"/>
    <w:charset w:val="80"/>
    <w:family w:val="auto"/>
    <w:pitch w:val="default"/>
    <w:sig w:usb0="00000001" w:usb1="08070000" w:usb2="00000010" w:usb3="00000000" w:csb0="00020000" w:csb1="00000000"/>
  </w:font>
  <w:font w:name="TimesNewRomanPSMT">
    <w:altName w:val="MS Mincho"/>
    <w:charset w:val="80"/>
    <w:family w:val="auto"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  <w:embedRegular r:id="rId2" w:subsetted="1" w:fontKey="{27485347-7311-4E84-90F1-9B87E3A2DF15}"/>
  </w:font>
  <w:font w:name="GaramondPremrPro">
    <w:altName w:val="MS Mincho"/>
    <w:charset w:val="80"/>
    <w:family w:val="roman"/>
    <w:pitch w:val="default"/>
    <w:sig w:usb0="00000001" w:usb1="08070000" w:usb2="00000010" w:usb3="00000000" w:csb0="00020000" w:csb1="00000000"/>
  </w:font>
  <w:font w:name="GaramondPremrPro-BdIt">
    <w:altName w:val="MS Mincho"/>
    <w:charset w:val="80"/>
    <w:family w:val="roman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125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B1DCC2" w14:textId="77777777" w:rsidR="002F3191" w:rsidRDefault="002F319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1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6EF1A5" w14:textId="77777777" w:rsidR="002F3191" w:rsidRDefault="002F31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358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9E063" w14:textId="77777777" w:rsidR="002F3191" w:rsidRDefault="002F319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1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220B9C" w14:textId="77777777" w:rsidR="001B3638" w:rsidRPr="00501847" w:rsidRDefault="001B3638" w:rsidP="005018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B91E4" w14:textId="77777777" w:rsidR="00D033CC" w:rsidRDefault="00D033CC" w:rsidP="00501847">
      <w:pPr>
        <w:spacing w:after="0" w:line="240" w:lineRule="auto"/>
      </w:pPr>
      <w:r>
        <w:separator/>
      </w:r>
    </w:p>
  </w:footnote>
  <w:footnote w:type="continuationSeparator" w:id="0">
    <w:p w14:paraId="42A0A3F3" w14:textId="77777777" w:rsidR="00D033CC" w:rsidRDefault="00D033CC" w:rsidP="00501847">
      <w:pPr>
        <w:spacing w:after="0" w:line="240" w:lineRule="auto"/>
      </w:pPr>
      <w:r>
        <w:continuationSeparator/>
      </w:r>
    </w:p>
  </w:footnote>
  <w:footnote w:id="1">
    <w:p w14:paraId="7248EF57" w14:textId="77777777" w:rsidR="001B3638" w:rsidRPr="008418A5" w:rsidRDefault="001B3638" w:rsidP="002413B3">
      <w:pPr>
        <w:rPr>
          <w:rFonts w:ascii="Times New Roman" w:hAnsi="Times New Roman"/>
        </w:rPr>
      </w:pPr>
      <w:r w:rsidRPr="008418A5">
        <w:rPr>
          <w:rFonts w:ascii="Times New Roman" w:hAnsi="Times New Roman"/>
        </w:rPr>
        <w:t>*Corresponding author. E-mail</w:t>
      </w:r>
      <w:r>
        <w:rPr>
          <w:rFonts w:ascii="Times New Roman" w:hAnsi="Times New Roman"/>
        </w:rPr>
        <w:t>s</w:t>
      </w:r>
      <w:r w:rsidRPr="008418A5">
        <w:rPr>
          <w:rFonts w:ascii="Times New Roman" w:hAnsi="Times New Roman"/>
        </w:rPr>
        <w:t xml:space="preserve">: </w:t>
      </w:r>
      <w:hyperlink r:id="rId1" w:history="1">
        <w:r w:rsidRPr="003D3F1A">
          <w:rPr>
            <w:rStyle w:val="Hyperlink"/>
            <w:rFonts w:ascii="Times New Roman" w:hAnsi="Times New Roman"/>
            <w:bCs/>
            <w:i/>
            <w:sz w:val="24"/>
            <w:szCs w:val="24"/>
            <w:lang w:val="en-GB"/>
          </w:rPr>
          <w:t>rada.djurovic@pesting.org.rs</w:t>
        </w:r>
      </w:hyperlink>
      <w:r>
        <w:rPr>
          <w:rFonts w:ascii="Times New Roman" w:hAnsi="Times New Roman"/>
          <w:bCs/>
          <w:i/>
          <w:sz w:val="24"/>
          <w:szCs w:val="24"/>
          <w:lang w:val="en-GB"/>
        </w:rPr>
        <w:t xml:space="preserve">; </w:t>
      </w:r>
      <w:hyperlink r:id="rId2" w:history="1">
        <w:r w:rsidRPr="003D3F1A">
          <w:rPr>
            <w:rStyle w:val="Hyperlink"/>
            <w:rFonts w:ascii="Times New Roman" w:hAnsi="Times New Roman"/>
            <w:bCs/>
            <w:i/>
            <w:sz w:val="24"/>
            <w:szCs w:val="24"/>
          </w:rPr>
          <w:t>rajcica76@gmail.com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41335"/>
    <w:multiLevelType w:val="hybridMultilevel"/>
    <w:tmpl w:val="CD6080A0"/>
    <w:lvl w:ilvl="0" w:tplc="DD4AE2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2047C"/>
    <w:multiLevelType w:val="hybridMultilevel"/>
    <w:tmpl w:val="0DA4CF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ar Dekanski">
    <w15:presenceInfo w15:providerId="Windows Live" w15:userId="595bad50a54dda5b"/>
  </w15:person>
  <w15:person w15:author="Bojan Radak">
    <w15:presenceInfo w15:providerId="Windows Live" w15:userId="60d147a54b5f0f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styleLockQFSet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10"/>
    <w:rsid w:val="000025CF"/>
    <w:rsid w:val="00010DE0"/>
    <w:rsid w:val="0002394B"/>
    <w:rsid w:val="00031B84"/>
    <w:rsid w:val="0003209E"/>
    <w:rsid w:val="00032F40"/>
    <w:rsid w:val="00033CAA"/>
    <w:rsid w:val="00033F14"/>
    <w:rsid w:val="00042254"/>
    <w:rsid w:val="000518D8"/>
    <w:rsid w:val="00054901"/>
    <w:rsid w:val="0006428C"/>
    <w:rsid w:val="00071167"/>
    <w:rsid w:val="00072BAC"/>
    <w:rsid w:val="00082E4A"/>
    <w:rsid w:val="00083BF8"/>
    <w:rsid w:val="000A3AFA"/>
    <w:rsid w:val="000B12D4"/>
    <w:rsid w:val="000C42D7"/>
    <w:rsid w:val="000D1FE6"/>
    <w:rsid w:val="000D6A6C"/>
    <w:rsid w:val="000E0510"/>
    <w:rsid w:val="000E0CF3"/>
    <w:rsid w:val="000F1679"/>
    <w:rsid w:val="000F6649"/>
    <w:rsid w:val="000F737A"/>
    <w:rsid w:val="000F7581"/>
    <w:rsid w:val="000F7C0A"/>
    <w:rsid w:val="00100A3D"/>
    <w:rsid w:val="00101A67"/>
    <w:rsid w:val="00102C17"/>
    <w:rsid w:val="0011378C"/>
    <w:rsid w:val="00113AAB"/>
    <w:rsid w:val="00115EFC"/>
    <w:rsid w:val="001224A5"/>
    <w:rsid w:val="001241CF"/>
    <w:rsid w:val="00130B0F"/>
    <w:rsid w:val="00132554"/>
    <w:rsid w:val="0013442A"/>
    <w:rsid w:val="00134DDC"/>
    <w:rsid w:val="00137955"/>
    <w:rsid w:val="00150FA4"/>
    <w:rsid w:val="001551CA"/>
    <w:rsid w:val="00155919"/>
    <w:rsid w:val="0015793C"/>
    <w:rsid w:val="0016089F"/>
    <w:rsid w:val="00164B86"/>
    <w:rsid w:val="0016656C"/>
    <w:rsid w:val="0018718D"/>
    <w:rsid w:val="00195E6A"/>
    <w:rsid w:val="00197C5A"/>
    <w:rsid w:val="001A196A"/>
    <w:rsid w:val="001A4211"/>
    <w:rsid w:val="001B0D74"/>
    <w:rsid w:val="001B1005"/>
    <w:rsid w:val="001B1563"/>
    <w:rsid w:val="001B221B"/>
    <w:rsid w:val="001B3638"/>
    <w:rsid w:val="001B3A20"/>
    <w:rsid w:val="001B5F37"/>
    <w:rsid w:val="001C36ED"/>
    <w:rsid w:val="001C60C7"/>
    <w:rsid w:val="001C71DF"/>
    <w:rsid w:val="001D1D8F"/>
    <w:rsid w:val="001D26D6"/>
    <w:rsid w:val="001D3429"/>
    <w:rsid w:val="001D73FA"/>
    <w:rsid w:val="001E390B"/>
    <w:rsid w:val="001E7706"/>
    <w:rsid w:val="001E7E15"/>
    <w:rsid w:val="001F53B8"/>
    <w:rsid w:val="00201C06"/>
    <w:rsid w:val="00201D56"/>
    <w:rsid w:val="00212CB6"/>
    <w:rsid w:val="00215416"/>
    <w:rsid w:val="002203D7"/>
    <w:rsid w:val="002231D1"/>
    <w:rsid w:val="002239A0"/>
    <w:rsid w:val="002276D9"/>
    <w:rsid w:val="002345F7"/>
    <w:rsid w:val="002413B3"/>
    <w:rsid w:val="00242B27"/>
    <w:rsid w:val="00244908"/>
    <w:rsid w:val="002452EE"/>
    <w:rsid w:val="00250FF0"/>
    <w:rsid w:val="00261448"/>
    <w:rsid w:val="002813C4"/>
    <w:rsid w:val="00282ECB"/>
    <w:rsid w:val="002944B1"/>
    <w:rsid w:val="002B0FA0"/>
    <w:rsid w:val="002B2EFB"/>
    <w:rsid w:val="002B3137"/>
    <w:rsid w:val="002B34AA"/>
    <w:rsid w:val="002B63D5"/>
    <w:rsid w:val="002C0C98"/>
    <w:rsid w:val="002C1C2F"/>
    <w:rsid w:val="002C294F"/>
    <w:rsid w:val="002C38E9"/>
    <w:rsid w:val="002C6487"/>
    <w:rsid w:val="002E00A8"/>
    <w:rsid w:val="002E1667"/>
    <w:rsid w:val="002E1AE6"/>
    <w:rsid w:val="002E330D"/>
    <w:rsid w:val="002F3191"/>
    <w:rsid w:val="002F64BC"/>
    <w:rsid w:val="002F757A"/>
    <w:rsid w:val="003000F2"/>
    <w:rsid w:val="00305698"/>
    <w:rsid w:val="00322E90"/>
    <w:rsid w:val="00333664"/>
    <w:rsid w:val="00335420"/>
    <w:rsid w:val="003406B5"/>
    <w:rsid w:val="0036212A"/>
    <w:rsid w:val="00365DA3"/>
    <w:rsid w:val="00372D85"/>
    <w:rsid w:val="00373DC8"/>
    <w:rsid w:val="00384CE8"/>
    <w:rsid w:val="00394593"/>
    <w:rsid w:val="003A0BEB"/>
    <w:rsid w:val="003A2C9E"/>
    <w:rsid w:val="003C0403"/>
    <w:rsid w:val="003E7AF5"/>
    <w:rsid w:val="003F012C"/>
    <w:rsid w:val="003F1F80"/>
    <w:rsid w:val="003F3253"/>
    <w:rsid w:val="003F3349"/>
    <w:rsid w:val="00404534"/>
    <w:rsid w:val="00404E4B"/>
    <w:rsid w:val="00406322"/>
    <w:rsid w:val="00406A9B"/>
    <w:rsid w:val="00416801"/>
    <w:rsid w:val="00417A91"/>
    <w:rsid w:val="00420D5F"/>
    <w:rsid w:val="00426F61"/>
    <w:rsid w:val="00434CB4"/>
    <w:rsid w:val="00442A40"/>
    <w:rsid w:val="00444517"/>
    <w:rsid w:val="00454429"/>
    <w:rsid w:val="00455B86"/>
    <w:rsid w:val="004602DA"/>
    <w:rsid w:val="00460E97"/>
    <w:rsid w:val="00482202"/>
    <w:rsid w:val="00490CD5"/>
    <w:rsid w:val="00491D5B"/>
    <w:rsid w:val="0049597B"/>
    <w:rsid w:val="004A2529"/>
    <w:rsid w:val="004B6444"/>
    <w:rsid w:val="004B6FA4"/>
    <w:rsid w:val="004C7910"/>
    <w:rsid w:val="004D1A2E"/>
    <w:rsid w:val="004D2F80"/>
    <w:rsid w:val="004D4DDD"/>
    <w:rsid w:val="004D4F37"/>
    <w:rsid w:val="004D59AD"/>
    <w:rsid w:val="004E3461"/>
    <w:rsid w:val="004F29A7"/>
    <w:rsid w:val="00501847"/>
    <w:rsid w:val="00503127"/>
    <w:rsid w:val="005157D9"/>
    <w:rsid w:val="00521C32"/>
    <w:rsid w:val="00531FED"/>
    <w:rsid w:val="00533E4B"/>
    <w:rsid w:val="00546059"/>
    <w:rsid w:val="00547B6F"/>
    <w:rsid w:val="00550F31"/>
    <w:rsid w:val="0055582B"/>
    <w:rsid w:val="0055729B"/>
    <w:rsid w:val="00561770"/>
    <w:rsid w:val="0056210A"/>
    <w:rsid w:val="00562A60"/>
    <w:rsid w:val="00562B55"/>
    <w:rsid w:val="0056541E"/>
    <w:rsid w:val="00566C83"/>
    <w:rsid w:val="00577422"/>
    <w:rsid w:val="00583211"/>
    <w:rsid w:val="00587AC9"/>
    <w:rsid w:val="0059219C"/>
    <w:rsid w:val="005938E9"/>
    <w:rsid w:val="005A48FF"/>
    <w:rsid w:val="005A5881"/>
    <w:rsid w:val="005A6B00"/>
    <w:rsid w:val="005A7EE3"/>
    <w:rsid w:val="005B071C"/>
    <w:rsid w:val="005E15F0"/>
    <w:rsid w:val="005E38E1"/>
    <w:rsid w:val="005E5063"/>
    <w:rsid w:val="005F3073"/>
    <w:rsid w:val="005F553E"/>
    <w:rsid w:val="00611EE1"/>
    <w:rsid w:val="006123EB"/>
    <w:rsid w:val="00615A24"/>
    <w:rsid w:val="006211B2"/>
    <w:rsid w:val="006232FD"/>
    <w:rsid w:val="0063073C"/>
    <w:rsid w:val="00630A94"/>
    <w:rsid w:val="006433F7"/>
    <w:rsid w:val="00661DD5"/>
    <w:rsid w:val="006625A0"/>
    <w:rsid w:val="00664787"/>
    <w:rsid w:val="00675AAF"/>
    <w:rsid w:val="00680ECA"/>
    <w:rsid w:val="00681A35"/>
    <w:rsid w:val="00682604"/>
    <w:rsid w:val="00684334"/>
    <w:rsid w:val="006853F8"/>
    <w:rsid w:val="00695978"/>
    <w:rsid w:val="006A5893"/>
    <w:rsid w:val="006A613B"/>
    <w:rsid w:val="006B771C"/>
    <w:rsid w:val="006C0A92"/>
    <w:rsid w:val="006C530A"/>
    <w:rsid w:val="006D022A"/>
    <w:rsid w:val="006D2299"/>
    <w:rsid w:val="006D2D27"/>
    <w:rsid w:val="006D587B"/>
    <w:rsid w:val="006E17E3"/>
    <w:rsid w:val="006E7011"/>
    <w:rsid w:val="006E707F"/>
    <w:rsid w:val="006F6727"/>
    <w:rsid w:val="006F6F50"/>
    <w:rsid w:val="006F7938"/>
    <w:rsid w:val="00703A5C"/>
    <w:rsid w:val="0071327A"/>
    <w:rsid w:val="00713FE2"/>
    <w:rsid w:val="00715929"/>
    <w:rsid w:val="00726DBF"/>
    <w:rsid w:val="00730E66"/>
    <w:rsid w:val="00735CE4"/>
    <w:rsid w:val="00741AA9"/>
    <w:rsid w:val="00742F8C"/>
    <w:rsid w:val="007452F4"/>
    <w:rsid w:val="00746A53"/>
    <w:rsid w:val="00753A69"/>
    <w:rsid w:val="00757EC6"/>
    <w:rsid w:val="00762868"/>
    <w:rsid w:val="00763943"/>
    <w:rsid w:val="0076435D"/>
    <w:rsid w:val="00765810"/>
    <w:rsid w:val="00771E1A"/>
    <w:rsid w:val="0077494B"/>
    <w:rsid w:val="00780760"/>
    <w:rsid w:val="0078377F"/>
    <w:rsid w:val="00790088"/>
    <w:rsid w:val="00792B62"/>
    <w:rsid w:val="00797D4A"/>
    <w:rsid w:val="007A13F6"/>
    <w:rsid w:val="007B4305"/>
    <w:rsid w:val="007C0932"/>
    <w:rsid w:val="007C5D98"/>
    <w:rsid w:val="007D1EB4"/>
    <w:rsid w:val="007D7110"/>
    <w:rsid w:val="007E2BE3"/>
    <w:rsid w:val="007E3093"/>
    <w:rsid w:val="007E6EB0"/>
    <w:rsid w:val="007E743C"/>
    <w:rsid w:val="007F1425"/>
    <w:rsid w:val="007F4FFF"/>
    <w:rsid w:val="007F7641"/>
    <w:rsid w:val="00800402"/>
    <w:rsid w:val="00804C24"/>
    <w:rsid w:val="008053EE"/>
    <w:rsid w:val="008105AA"/>
    <w:rsid w:val="00814DC6"/>
    <w:rsid w:val="00816DFE"/>
    <w:rsid w:val="008211BD"/>
    <w:rsid w:val="008333C1"/>
    <w:rsid w:val="008418A5"/>
    <w:rsid w:val="00846BE4"/>
    <w:rsid w:val="008519B2"/>
    <w:rsid w:val="00852090"/>
    <w:rsid w:val="008569F2"/>
    <w:rsid w:val="008577CD"/>
    <w:rsid w:val="00861BC4"/>
    <w:rsid w:val="00861C10"/>
    <w:rsid w:val="00872CE0"/>
    <w:rsid w:val="0087562C"/>
    <w:rsid w:val="0088625B"/>
    <w:rsid w:val="00887517"/>
    <w:rsid w:val="008900F2"/>
    <w:rsid w:val="0089627E"/>
    <w:rsid w:val="008963A6"/>
    <w:rsid w:val="008A0E8E"/>
    <w:rsid w:val="008A67F9"/>
    <w:rsid w:val="008A7611"/>
    <w:rsid w:val="008B0B05"/>
    <w:rsid w:val="008B3A02"/>
    <w:rsid w:val="008B6007"/>
    <w:rsid w:val="008C0FB3"/>
    <w:rsid w:val="008C4BA3"/>
    <w:rsid w:val="008D1446"/>
    <w:rsid w:val="008D6886"/>
    <w:rsid w:val="008F1A5E"/>
    <w:rsid w:val="008F2B90"/>
    <w:rsid w:val="0091667E"/>
    <w:rsid w:val="00920194"/>
    <w:rsid w:val="00924A78"/>
    <w:rsid w:val="009260E8"/>
    <w:rsid w:val="00927E90"/>
    <w:rsid w:val="00930378"/>
    <w:rsid w:val="0093462F"/>
    <w:rsid w:val="00951667"/>
    <w:rsid w:val="009554DC"/>
    <w:rsid w:val="009618F3"/>
    <w:rsid w:val="00963A77"/>
    <w:rsid w:val="00964127"/>
    <w:rsid w:val="009649D4"/>
    <w:rsid w:val="00964AC2"/>
    <w:rsid w:val="0096697F"/>
    <w:rsid w:val="0097108A"/>
    <w:rsid w:val="009711FD"/>
    <w:rsid w:val="00971584"/>
    <w:rsid w:val="009805B7"/>
    <w:rsid w:val="009843D1"/>
    <w:rsid w:val="00986A37"/>
    <w:rsid w:val="009902B2"/>
    <w:rsid w:val="00991AFF"/>
    <w:rsid w:val="0099472F"/>
    <w:rsid w:val="00997DB6"/>
    <w:rsid w:val="009A0508"/>
    <w:rsid w:val="009A19D7"/>
    <w:rsid w:val="009A2601"/>
    <w:rsid w:val="009B092B"/>
    <w:rsid w:val="009B2C66"/>
    <w:rsid w:val="009B4F97"/>
    <w:rsid w:val="009B7959"/>
    <w:rsid w:val="009C3E2A"/>
    <w:rsid w:val="009D24B1"/>
    <w:rsid w:val="009D4840"/>
    <w:rsid w:val="009D7AE8"/>
    <w:rsid w:val="009E0EA5"/>
    <w:rsid w:val="009E5A89"/>
    <w:rsid w:val="009F3452"/>
    <w:rsid w:val="009F5F40"/>
    <w:rsid w:val="009F6C33"/>
    <w:rsid w:val="00A06AAC"/>
    <w:rsid w:val="00A14919"/>
    <w:rsid w:val="00A15B56"/>
    <w:rsid w:val="00A16A46"/>
    <w:rsid w:val="00A17110"/>
    <w:rsid w:val="00A26E77"/>
    <w:rsid w:val="00A27606"/>
    <w:rsid w:val="00A341BC"/>
    <w:rsid w:val="00A4227C"/>
    <w:rsid w:val="00A44067"/>
    <w:rsid w:val="00A523C2"/>
    <w:rsid w:val="00A5293B"/>
    <w:rsid w:val="00A54DFA"/>
    <w:rsid w:val="00A5611D"/>
    <w:rsid w:val="00A5779E"/>
    <w:rsid w:val="00A613AC"/>
    <w:rsid w:val="00A67FE0"/>
    <w:rsid w:val="00A865DD"/>
    <w:rsid w:val="00A92985"/>
    <w:rsid w:val="00A9493C"/>
    <w:rsid w:val="00A96799"/>
    <w:rsid w:val="00A97CC4"/>
    <w:rsid w:val="00AA4C51"/>
    <w:rsid w:val="00AA5486"/>
    <w:rsid w:val="00AB4433"/>
    <w:rsid w:val="00AB4D82"/>
    <w:rsid w:val="00AB7CD0"/>
    <w:rsid w:val="00AD0CBC"/>
    <w:rsid w:val="00AD277E"/>
    <w:rsid w:val="00AE0ABC"/>
    <w:rsid w:val="00AE0D6D"/>
    <w:rsid w:val="00AF4C24"/>
    <w:rsid w:val="00AF53C3"/>
    <w:rsid w:val="00B01C2F"/>
    <w:rsid w:val="00B045C2"/>
    <w:rsid w:val="00B0512D"/>
    <w:rsid w:val="00B07751"/>
    <w:rsid w:val="00B07A8C"/>
    <w:rsid w:val="00B16FF4"/>
    <w:rsid w:val="00B20DA9"/>
    <w:rsid w:val="00B20E24"/>
    <w:rsid w:val="00B2286D"/>
    <w:rsid w:val="00B331B6"/>
    <w:rsid w:val="00B33CCB"/>
    <w:rsid w:val="00B36CCB"/>
    <w:rsid w:val="00B440FF"/>
    <w:rsid w:val="00B54410"/>
    <w:rsid w:val="00B5660C"/>
    <w:rsid w:val="00B577E9"/>
    <w:rsid w:val="00B60594"/>
    <w:rsid w:val="00B64654"/>
    <w:rsid w:val="00B65448"/>
    <w:rsid w:val="00B6587B"/>
    <w:rsid w:val="00B67FC2"/>
    <w:rsid w:val="00B9084E"/>
    <w:rsid w:val="00B92971"/>
    <w:rsid w:val="00B92AA0"/>
    <w:rsid w:val="00B9426D"/>
    <w:rsid w:val="00B94E53"/>
    <w:rsid w:val="00B960FE"/>
    <w:rsid w:val="00BA0A71"/>
    <w:rsid w:val="00BA373E"/>
    <w:rsid w:val="00BA49AB"/>
    <w:rsid w:val="00BB28E2"/>
    <w:rsid w:val="00BB71E6"/>
    <w:rsid w:val="00BC1EFA"/>
    <w:rsid w:val="00BD0E20"/>
    <w:rsid w:val="00BD345A"/>
    <w:rsid w:val="00BD7E41"/>
    <w:rsid w:val="00BE0D41"/>
    <w:rsid w:val="00BE3180"/>
    <w:rsid w:val="00BE6B5F"/>
    <w:rsid w:val="00BF0136"/>
    <w:rsid w:val="00BF04DD"/>
    <w:rsid w:val="00BF24A8"/>
    <w:rsid w:val="00BF2BDE"/>
    <w:rsid w:val="00BF3CE3"/>
    <w:rsid w:val="00BF4951"/>
    <w:rsid w:val="00BF7AE0"/>
    <w:rsid w:val="00C043D9"/>
    <w:rsid w:val="00C06648"/>
    <w:rsid w:val="00C11D2D"/>
    <w:rsid w:val="00C26750"/>
    <w:rsid w:val="00C33D27"/>
    <w:rsid w:val="00C34F6D"/>
    <w:rsid w:val="00C36B2F"/>
    <w:rsid w:val="00C36C9C"/>
    <w:rsid w:val="00C43E05"/>
    <w:rsid w:val="00C6724A"/>
    <w:rsid w:val="00C71184"/>
    <w:rsid w:val="00C717C4"/>
    <w:rsid w:val="00C7375D"/>
    <w:rsid w:val="00C9050F"/>
    <w:rsid w:val="00C9788E"/>
    <w:rsid w:val="00CA17C1"/>
    <w:rsid w:val="00CA2268"/>
    <w:rsid w:val="00CA3253"/>
    <w:rsid w:val="00CA33D9"/>
    <w:rsid w:val="00CA5312"/>
    <w:rsid w:val="00CA6E2E"/>
    <w:rsid w:val="00CA7B42"/>
    <w:rsid w:val="00CB05A5"/>
    <w:rsid w:val="00CB5AC1"/>
    <w:rsid w:val="00CB6A84"/>
    <w:rsid w:val="00CC6C72"/>
    <w:rsid w:val="00CD5A4B"/>
    <w:rsid w:val="00CE159F"/>
    <w:rsid w:val="00D02B58"/>
    <w:rsid w:val="00D033CC"/>
    <w:rsid w:val="00D043E2"/>
    <w:rsid w:val="00D2060D"/>
    <w:rsid w:val="00D30A9B"/>
    <w:rsid w:val="00D32274"/>
    <w:rsid w:val="00D34B01"/>
    <w:rsid w:val="00D353A7"/>
    <w:rsid w:val="00D40E44"/>
    <w:rsid w:val="00D46E3A"/>
    <w:rsid w:val="00D47929"/>
    <w:rsid w:val="00D6629B"/>
    <w:rsid w:val="00D66FC0"/>
    <w:rsid w:val="00D676AA"/>
    <w:rsid w:val="00D73D3D"/>
    <w:rsid w:val="00D85D8E"/>
    <w:rsid w:val="00D9715B"/>
    <w:rsid w:val="00DA00A7"/>
    <w:rsid w:val="00DA3376"/>
    <w:rsid w:val="00DA7B94"/>
    <w:rsid w:val="00DA7D8A"/>
    <w:rsid w:val="00DB25E2"/>
    <w:rsid w:val="00DB2661"/>
    <w:rsid w:val="00DB52C8"/>
    <w:rsid w:val="00DC63A9"/>
    <w:rsid w:val="00DC7B8C"/>
    <w:rsid w:val="00DE4FF3"/>
    <w:rsid w:val="00DF585D"/>
    <w:rsid w:val="00E05209"/>
    <w:rsid w:val="00E064CE"/>
    <w:rsid w:val="00E101AD"/>
    <w:rsid w:val="00E16A3F"/>
    <w:rsid w:val="00E2452D"/>
    <w:rsid w:val="00E27BBC"/>
    <w:rsid w:val="00E34663"/>
    <w:rsid w:val="00E36569"/>
    <w:rsid w:val="00E50F5F"/>
    <w:rsid w:val="00E74D26"/>
    <w:rsid w:val="00E74F1B"/>
    <w:rsid w:val="00E75C0E"/>
    <w:rsid w:val="00E77296"/>
    <w:rsid w:val="00E8254E"/>
    <w:rsid w:val="00E82976"/>
    <w:rsid w:val="00E86A2B"/>
    <w:rsid w:val="00E87A80"/>
    <w:rsid w:val="00E965C6"/>
    <w:rsid w:val="00E97F69"/>
    <w:rsid w:val="00EB4CA0"/>
    <w:rsid w:val="00EC0E35"/>
    <w:rsid w:val="00EC261D"/>
    <w:rsid w:val="00EC48A4"/>
    <w:rsid w:val="00EC4DFB"/>
    <w:rsid w:val="00EC6141"/>
    <w:rsid w:val="00ED3AD5"/>
    <w:rsid w:val="00EE12AF"/>
    <w:rsid w:val="00EE4BBC"/>
    <w:rsid w:val="00EF041B"/>
    <w:rsid w:val="00EF6D70"/>
    <w:rsid w:val="00EF732F"/>
    <w:rsid w:val="00EF786D"/>
    <w:rsid w:val="00EF7C21"/>
    <w:rsid w:val="00F00DE4"/>
    <w:rsid w:val="00F0766B"/>
    <w:rsid w:val="00F11DDA"/>
    <w:rsid w:val="00F152A2"/>
    <w:rsid w:val="00F26017"/>
    <w:rsid w:val="00F368FE"/>
    <w:rsid w:val="00F376EF"/>
    <w:rsid w:val="00F43ABC"/>
    <w:rsid w:val="00F44A94"/>
    <w:rsid w:val="00F46C56"/>
    <w:rsid w:val="00F5422A"/>
    <w:rsid w:val="00F61EAC"/>
    <w:rsid w:val="00F73F9A"/>
    <w:rsid w:val="00F75C35"/>
    <w:rsid w:val="00F8380D"/>
    <w:rsid w:val="00F912CA"/>
    <w:rsid w:val="00F91EE8"/>
    <w:rsid w:val="00F955D2"/>
    <w:rsid w:val="00FA71DA"/>
    <w:rsid w:val="00FB30E2"/>
    <w:rsid w:val="00FB6413"/>
    <w:rsid w:val="00FB7032"/>
    <w:rsid w:val="00FC2A2B"/>
    <w:rsid w:val="00FE1922"/>
    <w:rsid w:val="00FE268C"/>
    <w:rsid w:val="00FE6BF0"/>
    <w:rsid w:val="00FE7AEB"/>
    <w:rsid w:val="00FF3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E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2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3F01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F012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413B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000F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3F9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706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4D59AD"/>
  </w:style>
  <w:style w:type="character" w:customStyle="1" w:styleId="hps">
    <w:name w:val="hps"/>
    <w:basedOn w:val="DefaultParagraphFont"/>
    <w:rsid w:val="004D59AD"/>
  </w:style>
  <w:style w:type="character" w:styleId="PlaceholderText">
    <w:name w:val="Placeholder Text"/>
    <w:basedOn w:val="DefaultParagraphFont"/>
    <w:uiPriority w:val="99"/>
    <w:semiHidden/>
    <w:rsid w:val="00EE4BBC"/>
    <w:rPr>
      <w:color w:val="808080"/>
    </w:rPr>
  </w:style>
  <w:style w:type="table" w:styleId="TableGrid">
    <w:name w:val="Table Grid"/>
    <w:basedOn w:val="TableNormal"/>
    <w:uiPriority w:val="59"/>
    <w:rsid w:val="002E1AE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1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AE6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AE6"/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D345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customStyle="1" w:styleId="st">
    <w:name w:val="st"/>
    <w:basedOn w:val="DefaultParagraphFont"/>
    <w:rsid w:val="00C11D2D"/>
  </w:style>
  <w:style w:type="character" w:customStyle="1" w:styleId="bibliographic-informationvalue">
    <w:name w:val="bibliographic-information__value"/>
    <w:basedOn w:val="DefaultParagraphFont"/>
    <w:rsid w:val="009618F3"/>
  </w:style>
  <w:style w:type="character" w:styleId="LineNumber">
    <w:name w:val="line number"/>
    <w:basedOn w:val="DefaultParagraphFont"/>
    <w:uiPriority w:val="99"/>
    <w:semiHidden/>
    <w:unhideWhenUsed/>
    <w:rsid w:val="00792B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59F"/>
    <w:pPr>
      <w:spacing w:after="16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59F"/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2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3F01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F012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413B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000F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3F9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706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4D59AD"/>
  </w:style>
  <w:style w:type="character" w:customStyle="1" w:styleId="hps">
    <w:name w:val="hps"/>
    <w:basedOn w:val="DefaultParagraphFont"/>
    <w:rsid w:val="004D59AD"/>
  </w:style>
  <w:style w:type="character" w:styleId="PlaceholderText">
    <w:name w:val="Placeholder Text"/>
    <w:basedOn w:val="DefaultParagraphFont"/>
    <w:uiPriority w:val="99"/>
    <w:semiHidden/>
    <w:rsid w:val="00EE4BBC"/>
    <w:rPr>
      <w:color w:val="808080"/>
    </w:rPr>
  </w:style>
  <w:style w:type="table" w:styleId="TableGrid">
    <w:name w:val="Table Grid"/>
    <w:basedOn w:val="TableNormal"/>
    <w:uiPriority w:val="59"/>
    <w:rsid w:val="002E1AE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1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AE6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AE6"/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D345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customStyle="1" w:styleId="st">
    <w:name w:val="st"/>
    <w:basedOn w:val="DefaultParagraphFont"/>
    <w:rsid w:val="00C11D2D"/>
  </w:style>
  <w:style w:type="character" w:customStyle="1" w:styleId="bibliographic-informationvalue">
    <w:name w:val="bibliographic-information__value"/>
    <w:basedOn w:val="DefaultParagraphFont"/>
    <w:rsid w:val="009618F3"/>
  </w:style>
  <w:style w:type="character" w:styleId="LineNumber">
    <w:name w:val="line number"/>
    <w:basedOn w:val="DefaultParagraphFont"/>
    <w:uiPriority w:val="99"/>
    <w:semiHidden/>
    <w:unhideWhenUsed/>
    <w:rsid w:val="00792B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59F"/>
    <w:pPr>
      <w:spacing w:after="16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59F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image" Target="media/image9.tif"/><Relationship Id="rId39" Type="http://schemas.openxmlformats.org/officeDocument/2006/relationships/hyperlink" Target="https://doi.org/10.1017/S0043174500090299" TargetMode="Externa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hyperlink" Target="http://www.jesc.ac.cn/jesc_en/ch/reader/create_pdf.aspx?file_no=20040432&amp;year_id=2004&amp;quarter_id=4&amp;falg=1" TargetMode="External"/><Relationship Id="rId42" Type="http://schemas.openxmlformats.org/officeDocument/2006/relationships/hyperlink" Target="https://doi.org/10.1016/j.chemosphere.2017.09.143" TargetMode="External"/><Relationship Id="rId47" Type="http://schemas.openxmlformats.org/officeDocument/2006/relationships/footer" Target="footer2.xml"/><Relationship Id="rId55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8.tif"/><Relationship Id="rId33" Type="http://schemas.openxmlformats.org/officeDocument/2006/relationships/hyperlink" Target="https://www.jstor.org/stable/4045767" TargetMode="External"/><Relationship Id="rId38" Type="http://schemas.openxmlformats.org/officeDocument/2006/relationships/hyperlink" Target="https://doi.org/10.1080/02772249309357917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hyperlink" Target="https://doi.org/10.1016/0021-9673(95)00725-3" TargetMode="External"/><Relationship Id="rId41" Type="http://schemas.openxmlformats.org/officeDocument/2006/relationships/hyperlink" Target="https://doi.org/10.1021/jf00056a062" TargetMode="External"/><Relationship Id="rId54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hyperlink" Target="https://doi.org/10.1002/ps.1733" TargetMode="External"/><Relationship Id="rId37" Type="http://schemas.openxmlformats.org/officeDocument/2006/relationships/hyperlink" Target="http://www.fao.org/3/i3794en/I3794en.pdf" TargetMode="External"/><Relationship Id="rId40" Type="http://schemas.openxmlformats.org/officeDocument/2006/relationships/hyperlink" Target="https://doi.org/10.1023/A:1005089612111" TargetMode="External"/><Relationship Id="rId45" Type="http://schemas.openxmlformats.org/officeDocument/2006/relationships/hyperlink" Target="https://doi.org/10.1007/s10661-015-4280-5" TargetMode="External"/><Relationship Id="rId53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hyperlink" Target="https://doi.org/10.1016/j.cropro.2013.06.012" TargetMode="External"/><Relationship Id="rId36" Type="http://schemas.openxmlformats.org/officeDocument/2006/relationships/hyperlink" Target="https://doi.org/10.1016/S0169-7722(97)00056-9" TargetMode="External"/><Relationship Id="rId49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hyperlink" Target="https://doi.org/10.1002/jssc.200301309" TargetMode="External"/><Relationship Id="rId44" Type="http://schemas.openxmlformats.org/officeDocument/2006/relationships/hyperlink" Target="https://doi.org/10.1080/03601234.2015.99958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tif"/><Relationship Id="rId30" Type="http://schemas.openxmlformats.org/officeDocument/2006/relationships/hyperlink" Target="https://doi.org/10.1016/S0021-9673(99)00429-X" TargetMode="External"/><Relationship Id="rId35" Type="http://schemas.openxmlformats.org/officeDocument/2006/relationships/hyperlink" Target="https://doi.org/10.1016/j.scitotenv.2007.11.033" TargetMode="External"/><Relationship Id="rId43" Type="http://schemas.openxmlformats.org/officeDocument/2006/relationships/hyperlink" Target="https://doi.org/10.1007/s11356-017-8800-4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rajcica76@gmail.com" TargetMode="External"/><Relationship Id="rId1" Type="http://schemas.openxmlformats.org/officeDocument/2006/relationships/hyperlink" Target="mailto:rada.djurovic@pesting.org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Dropbox\02_JSCS-vraceni\Template_JS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70C25-9703-44CF-96E8-79F43197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Template_JSCS</Template>
  <TotalTime>51</TotalTime>
  <Pages>15</Pages>
  <Words>4404</Words>
  <Characters>25106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29452</CharactersWithSpaces>
  <SharedDoc>false</SharedDoc>
  <HLinks>
    <vt:vector size="12" baseType="variant">
      <vt:variant>
        <vt:i4>6881328</vt:i4>
      </vt:variant>
      <vt:variant>
        <vt:i4>6</vt:i4>
      </vt:variant>
      <vt:variant>
        <vt:i4>0</vt:i4>
      </vt:variant>
      <vt:variant>
        <vt:i4>5</vt:i4>
      </vt:variant>
      <vt:variant>
        <vt:lpwstr>http://www.shd.org.rs/JSCS/</vt:lpwstr>
      </vt:variant>
      <vt:variant>
        <vt:lpwstr/>
      </vt:variant>
      <vt:variant>
        <vt:i4>4128862</vt:i4>
      </vt:variant>
      <vt:variant>
        <vt:i4>3</vt:i4>
      </vt:variant>
      <vt:variant>
        <vt:i4>0</vt:i4>
      </vt:variant>
      <vt:variant>
        <vt:i4>5</vt:i4>
      </vt:variant>
      <vt:variant>
        <vt:lpwstr>http://www.shd.org.rs/JSCS/jscs-pdf/Artwork_Instructions.pdf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Dekanski</dc:creator>
  <cp:lastModifiedBy>Rada Đurović</cp:lastModifiedBy>
  <cp:revision>26</cp:revision>
  <cp:lastPrinted>2019-09-17T12:50:00Z</cp:lastPrinted>
  <dcterms:created xsi:type="dcterms:W3CDTF">2019-09-23T09:02:00Z</dcterms:created>
  <dcterms:modified xsi:type="dcterms:W3CDTF">2019-09-24T08:40:00Z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